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FB" w:rsidRDefault="006D0FFB" w:rsidP="006D0FFB">
      <w:pPr>
        <w:pStyle w:val="Heading1"/>
        <w:numPr>
          <w:ilvl w:val="0"/>
          <w:numId w:val="0"/>
        </w:numPr>
        <w:tabs>
          <w:tab w:val="left" w:pos="720"/>
        </w:tabs>
        <w:jc w:val="center"/>
        <w:rPr>
          <w:rFonts w:ascii="Verdana" w:hAnsi="Verdana"/>
          <w:sz w:val="20"/>
          <w:szCs w:val="20"/>
        </w:rPr>
      </w:pPr>
      <w:r w:rsidRPr="006D0FFB">
        <w:rPr>
          <w:rFonts w:ascii="Verdana" w:hAnsi="Verdana"/>
          <w:sz w:val="20"/>
          <w:szCs w:val="20"/>
        </w:rPr>
        <w:t>Violence at Work Policy</w:t>
      </w:r>
    </w:p>
    <w:p w:rsidR="00B16CB9" w:rsidRPr="00B16CB9" w:rsidRDefault="00B16CB9" w:rsidP="00B16CB9">
      <w:pPr>
        <w:spacing w:after="0"/>
        <w:rPr>
          <w:lang w:eastAsia="en-GB"/>
        </w:rPr>
      </w:pPr>
    </w:p>
    <w:p w:rsidR="006D0FFB" w:rsidRPr="006D0FFB" w:rsidRDefault="006D0FFB" w:rsidP="00370EBF">
      <w:pPr>
        <w:rPr>
          <w:rFonts w:ascii="Verdana" w:hAnsi="Verdana" w:cs="Arial"/>
          <w:b/>
          <w:sz w:val="20"/>
          <w:szCs w:val="20"/>
        </w:rPr>
      </w:pPr>
      <w:r>
        <w:rPr>
          <w:rFonts w:ascii="Verdana" w:hAnsi="Verdana" w:cs="Arial"/>
          <w:b/>
          <w:sz w:val="20"/>
          <w:szCs w:val="20"/>
        </w:rPr>
        <w:t>Highcliffe School</w:t>
      </w:r>
      <w:r w:rsidRPr="006D0FFB">
        <w:rPr>
          <w:rFonts w:ascii="Verdana" w:hAnsi="Verdana" w:cs="Arial"/>
          <w:b/>
          <w:sz w:val="20"/>
          <w:szCs w:val="20"/>
        </w:rPr>
        <w:t xml:space="preserve"> recognises that there are no circumstances in which violence towards any employee is acceptable and no employee shall be expected to accept exposure to violent behaviour as part of their role.</w:t>
      </w:r>
    </w:p>
    <w:p w:rsidR="006D0FFB" w:rsidRPr="006D0FFB" w:rsidRDefault="006D0FFB" w:rsidP="00370EBF">
      <w:pPr>
        <w:pStyle w:val="Heading1"/>
        <w:numPr>
          <w:ilvl w:val="0"/>
          <w:numId w:val="16"/>
        </w:numPr>
        <w:tabs>
          <w:tab w:val="clear" w:pos="1080"/>
          <w:tab w:val="num" w:pos="0"/>
          <w:tab w:val="num" w:pos="709"/>
        </w:tabs>
        <w:ind w:left="0" w:firstLine="0"/>
        <w:rPr>
          <w:rFonts w:ascii="Verdana" w:hAnsi="Verdana"/>
          <w:sz w:val="20"/>
          <w:szCs w:val="20"/>
        </w:rPr>
      </w:pPr>
      <w:r w:rsidRPr="006D0FFB">
        <w:rPr>
          <w:rFonts w:ascii="Verdana" w:hAnsi="Verdana"/>
          <w:sz w:val="20"/>
          <w:szCs w:val="20"/>
        </w:rPr>
        <w:t>Introduction</w:t>
      </w:r>
    </w:p>
    <w:p w:rsidR="006D0FFB" w:rsidRPr="006D0FFB" w:rsidRDefault="006D0FFB" w:rsidP="00370EBF">
      <w:pPr>
        <w:pStyle w:val="Heading1"/>
        <w:numPr>
          <w:ilvl w:val="1"/>
          <w:numId w:val="17"/>
        </w:numPr>
        <w:tabs>
          <w:tab w:val="num" w:pos="709"/>
        </w:tabs>
        <w:spacing w:after="0"/>
        <w:ind w:left="709" w:hanging="709"/>
        <w:jc w:val="both"/>
        <w:rPr>
          <w:rFonts w:ascii="Verdana" w:hAnsi="Verdana"/>
          <w:b w:val="0"/>
          <w:sz w:val="20"/>
          <w:szCs w:val="20"/>
        </w:rPr>
      </w:pPr>
      <w:r w:rsidRPr="006D0FFB">
        <w:rPr>
          <w:rFonts w:ascii="Verdana" w:hAnsi="Verdana"/>
          <w:b w:val="0"/>
          <w:sz w:val="20"/>
          <w:szCs w:val="20"/>
        </w:rPr>
        <w:t>The Health and Safety Executive (HSE) defines work-related violence as: ‘Any incident in which a person is abused, threatened or assaulted in circumstances relating to their work’.</w:t>
      </w:r>
    </w:p>
    <w:p w:rsidR="006D0FFB" w:rsidRDefault="006D0FFB" w:rsidP="00370EBF">
      <w:pPr>
        <w:pStyle w:val="Heading1"/>
        <w:numPr>
          <w:ilvl w:val="1"/>
          <w:numId w:val="17"/>
        </w:numPr>
        <w:tabs>
          <w:tab w:val="num" w:pos="709"/>
        </w:tabs>
        <w:spacing w:after="0"/>
        <w:ind w:left="709" w:hanging="709"/>
        <w:jc w:val="both"/>
        <w:rPr>
          <w:rFonts w:ascii="Verdana" w:hAnsi="Verdana"/>
          <w:b w:val="0"/>
          <w:sz w:val="20"/>
          <w:szCs w:val="20"/>
        </w:rPr>
      </w:pPr>
      <w:r w:rsidRPr="006D0FFB">
        <w:rPr>
          <w:rFonts w:ascii="Verdana" w:hAnsi="Verdana"/>
          <w:b w:val="0"/>
          <w:sz w:val="20"/>
          <w:szCs w:val="20"/>
        </w:rPr>
        <w:t>This definition is taken to include verbal abuse or threat, threatening behaviour, any assault, any serious or persistent harassment, including racial or sexual harassment and extends from what may be seen to be minor incidents to serious assault and threats against the em</w:t>
      </w:r>
      <w:r>
        <w:rPr>
          <w:rFonts w:ascii="Verdana" w:hAnsi="Verdana"/>
          <w:b w:val="0"/>
          <w:sz w:val="20"/>
          <w:szCs w:val="20"/>
        </w:rPr>
        <w:t>ployee’s family.</w:t>
      </w:r>
    </w:p>
    <w:p w:rsidR="00370EBF" w:rsidRPr="00370EBF" w:rsidRDefault="00370EBF" w:rsidP="00370EBF">
      <w:pPr>
        <w:spacing w:after="0"/>
        <w:rPr>
          <w:lang w:eastAsia="en-GB"/>
        </w:rPr>
      </w:pPr>
    </w:p>
    <w:p w:rsidR="00370EBF" w:rsidRPr="00370EBF" w:rsidRDefault="006D0FFB" w:rsidP="00370EBF">
      <w:pPr>
        <w:pStyle w:val="ListParagraph"/>
        <w:numPr>
          <w:ilvl w:val="2"/>
          <w:numId w:val="17"/>
        </w:numPr>
        <w:spacing w:after="0"/>
        <w:rPr>
          <w:rFonts w:ascii="Verdana" w:hAnsi="Verdana" w:cs="Arial"/>
          <w:sz w:val="20"/>
          <w:szCs w:val="20"/>
        </w:rPr>
      </w:pPr>
      <w:r w:rsidRPr="00370EBF">
        <w:rPr>
          <w:rFonts w:ascii="Verdana" w:hAnsi="Verdana" w:cs="Arial"/>
          <w:sz w:val="20"/>
          <w:szCs w:val="20"/>
        </w:rPr>
        <w:t>This procedure has been agreed following consulta</w:t>
      </w:r>
      <w:r w:rsidR="00370EBF">
        <w:rPr>
          <w:rFonts w:ascii="Verdana" w:hAnsi="Verdana" w:cs="Arial"/>
          <w:sz w:val="20"/>
          <w:szCs w:val="20"/>
        </w:rPr>
        <w:t>tion with the recognised Trade</w:t>
      </w:r>
    </w:p>
    <w:p w:rsidR="006D0FFB" w:rsidRDefault="006D0FFB" w:rsidP="00370EBF">
      <w:pPr>
        <w:pStyle w:val="ListParagraph"/>
        <w:spacing w:after="0"/>
        <w:rPr>
          <w:rFonts w:ascii="Verdana" w:hAnsi="Verdana" w:cs="Arial"/>
          <w:sz w:val="20"/>
          <w:szCs w:val="20"/>
        </w:rPr>
      </w:pPr>
      <w:r w:rsidRPr="00370EBF">
        <w:rPr>
          <w:rFonts w:ascii="Verdana" w:hAnsi="Verdana" w:cs="Arial"/>
          <w:sz w:val="20"/>
          <w:szCs w:val="20"/>
        </w:rPr>
        <w:t>Unions by Dorset County Council and adopted by Highcliffe School as an Academy.</w:t>
      </w:r>
    </w:p>
    <w:p w:rsidR="00B16CB9" w:rsidRPr="00370EBF" w:rsidRDefault="00B16CB9" w:rsidP="00370EBF">
      <w:pPr>
        <w:pStyle w:val="ListParagraph"/>
        <w:spacing w:after="0"/>
        <w:rPr>
          <w:rFonts w:ascii="Verdana" w:hAnsi="Verdana" w:cs="Arial"/>
          <w:sz w:val="20"/>
          <w:szCs w:val="20"/>
        </w:rPr>
      </w:pPr>
    </w:p>
    <w:p w:rsidR="006D0FFB" w:rsidRPr="00B16CB9" w:rsidRDefault="006D0FFB" w:rsidP="00B16CB9">
      <w:pPr>
        <w:pStyle w:val="ListParagraph"/>
        <w:numPr>
          <w:ilvl w:val="0"/>
          <w:numId w:val="18"/>
        </w:numPr>
        <w:spacing w:after="0"/>
        <w:jc w:val="both"/>
        <w:rPr>
          <w:rFonts w:ascii="Verdana" w:hAnsi="Verdana" w:cs="Arial"/>
          <w:b/>
          <w:sz w:val="20"/>
          <w:szCs w:val="20"/>
        </w:rPr>
      </w:pPr>
      <w:r w:rsidRPr="00B16CB9">
        <w:rPr>
          <w:rFonts w:ascii="Verdana" w:hAnsi="Verdana" w:cs="Arial"/>
          <w:b/>
          <w:sz w:val="20"/>
          <w:szCs w:val="20"/>
        </w:rPr>
        <w:t>Scope</w:t>
      </w:r>
    </w:p>
    <w:p w:rsidR="00B16CB9" w:rsidRPr="00B16CB9" w:rsidRDefault="00B16CB9" w:rsidP="00B16CB9">
      <w:pPr>
        <w:pStyle w:val="ListParagraph"/>
        <w:spacing w:after="0"/>
        <w:jc w:val="both"/>
        <w:rPr>
          <w:rFonts w:ascii="Verdana" w:hAnsi="Verdana" w:cs="Arial"/>
          <w:sz w:val="20"/>
          <w:szCs w:val="20"/>
        </w:rPr>
      </w:pPr>
    </w:p>
    <w:p w:rsidR="006D0FFB" w:rsidRDefault="006D0FFB" w:rsidP="006D0FFB">
      <w:pPr>
        <w:pStyle w:val="PlainText"/>
        <w:numPr>
          <w:ilvl w:val="1"/>
          <w:numId w:val="18"/>
        </w:numPr>
        <w:rPr>
          <w:rFonts w:ascii="Verdana" w:hAnsi="Verdana" w:cs="Arial"/>
          <w:sz w:val="20"/>
          <w:szCs w:val="20"/>
        </w:rPr>
      </w:pPr>
      <w:r w:rsidRPr="006D0FFB">
        <w:rPr>
          <w:rFonts w:ascii="Verdana" w:hAnsi="Verdana" w:cs="Arial"/>
          <w:sz w:val="20"/>
          <w:szCs w:val="20"/>
        </w:rPr>
        <w:t xml:space="preserve">This policy is applicable to all employees of </w:t>
      </w:r>
      <w:r>
        <w:rPr>
          <w:rFonts w:ascii="Verdana" w:hAnsi="Verdana" w:cs="Arial"/>
          <w:sz w:val="20"/>
          <w:szCs w:val="20"/>
        </w:rPr>
        <w:t>Highcliffe School</w:t>
      </w:r>
      <w:r w:rsidRPr="006D0FFB">
        <w:rPr>
          <w:rFonts w:ascii="Verdana" w:hAnsi="Verdana" w:cs="Arial"/>
          <w:sz w:val="20"/>
          <w:szCs w:val="20"/>
        </w:rPr>
        <w:t xml:space="preserve"> who suffer physical or verbal abuse during the course of their duties from </w:t>
      </w:r>
      <w:r>
        <w:rPr>
          <w:rFonts w:ascii="Verdana" w:hAnsi="Verdana" w:cs="Arial"/>
          <w:sz w:val="20"/>
          <w:szCs w:val="20"/>
        </w:rPr>
        <w:t>Student</w:t>
      </w:r>
      <w:r w:rsidRPr="006D0FFB">
        <w:rPr>
          <w:rFonts w:ascii="Verdana" w:hAnsi="Verdana" w:cs="Arial"/>
          <w:sz w:val="20"/>
          <w:szCs w:val="20"/>
        </w:rPr>
        <w:t>s, parents and members of the public.</w:t>
      </w:r>
    </w:p>
    <w:p w:rsidR="00B16CB9" w:rsidRPr="006D0FFB" w:rsidRDefault="00B16CB9" w:rsidP="00B16CB9">
      <w:pPr>
        <w:pStyle w:val="PlainText"/>
        <w:ind w:left="720"/>
        <w:rPr>
          <w:rFonts w:ascii="Verdana" w:hAnsi="Verdana" w:cs="Arial"/>
          <w:sz w:val="20"/>
          <w:szCs w:val="20"/>
        </w:rPr>
      </w:pPr>
    </w:p>
    <w:p w:rsidR="006D0FFB" w:rsidRDefault="006D0FFB" w:rsidP="00B16CB9">
      <w:pPr>
        <w:numPr>
          <w:ilvl w:val="0"/>
          <w:numId w:val="19"/>
        </w:numPr>
        <w:spacing w:after="0" w:line="240" w:lineRule="auto"/>
        <w:ind w:left="709" w:hanging="709"/>
        <w:jc w:val="both"/>
        <w:rPr>
          <w:rFonts w:ascii="Verdana" w:hAnsi="Verdana" w:cs="Arial"/>
          <w:b/>
          <w:sz w:val="20"/>
          <w:szCs w:val="20"/>
        </w:rPr>
      </w:pPr>
      <w:r w:rsidRPr="00B16CB9">
        <w:rPr>
          <w:rFonts w:ascii="Verdana" w:hAnsi="Verdana" w:cs="Arial"/>
          <w:b/>
          <w:sz w:val="20"/>
          <w:szCs w:val="20"/>
        </w:rPr>
        <w:t>Legal Requirements</w:t>
      </w:r>
    </w:p>
    <w:p w:rsidR="00B16CB9" w:rsidRPr="00B16CB9" w:rsidRDefault="00B16CB9" w:rsidP="00B16CB9">
      <w:pPr>
        <w:spacing w:after="0" w:line="240" w:lineRule="auto"/>
        <w:ind w:left="709"/>
        <w:jc w:val="both"/>
        <w:rPr>
          <w:rFonts w:ascii="Verdana" w:hAnsi="Verdana" w:cs="Arial"/>
          <w:b/>
          <w:sz w:val="20"/>
          <w:szCs w:val="20"/>
        </w:rPr>
      </w:pPr>
    </w:p>
    <w:p w:rsidR="006D0FFB" w:rsidRDefault="006D0FFB" w:rsidP="00B16CB9">
      <w:pPr>
        <w:numPr>
          <w:ilvl w:val="1"/>
          <w:numId w:val="19"/>
        </w:numPr>
        <w:spacing w:after="0" w:line="240" w:lineRule="auto"/>
        <w:ind w:left="709" w:hanging="709"/>
        <w:jc w:val="both"/>
        <w:rPr>
          <w:rFonts w:ascii="Verdana" w:hAnsi="Verdana" w:cs="Arial"/>
          <w:sz w:val="20"/>
          <w:szCs w:val="20"/>
        </w:rPr>
      </w:pPr>
      <w:r w:rsidRPr="00B16CB9">
        <w:rPr>
          <w:rFonts w:ascii="Verdana" w:hAnsi="Verdana" w:cs="Arial"/>
          <w:sz w:val="20"/>
          <w:szCs w:val="20"/>
        </w:rPr>
        <w:t>Health and Safety law applies to risks of violence, just as it does to other risks from work. The main relevant legislation is:</w:t>
      </w:r>
    </w:p>
    <w:p w:rsidR="00B16CB9" w:rsidRPr="00B16CB9" w:rsidRDefault="00B16CB9" w:rsidP="00B16CB9">
      <w:pPr>
        <w:spacing w:after="0" w:line="240" w:lineRule="auto"/>
        <w:ind w:left="709"/>
        <w:jc w:val="both"/>
        <w:rPr>
          <w:rFonts w:ascii="Verdana" w:hAnsi="Verdana" w:cs="Arial"/>
          <w:sz w:val="20"/>
          <w:szCs w:val="20"/>
        </w:rPr>
      </w:pPr>
    </w:p>
    <w:p w:rsidR="006D0FFB" w:rsidRPr="006D0FFB" w:rsidRDefault="006D0FFB" w:rsidP="006D0FFB">
      <w:pPr>
        <w:numPr>
          <w:ilvl w:val="0"/>
          <w:numId w:val="20"/>
        </w:numPr>
        <w:spacing w:after="0" w:line="240" w:lineRule="auto"/>
        <w:jc w:val="both"/>
        <w:rPr>
          <w:rFonts w:ascii="Verdana" w:hAnsi="Verdana" w:cs="Arial"/>
          <w:b/>
          <w:sz w:val="20"/>
          <w:szCs w:val="20"/>
        </w:rPr>
      </w:pPr>
      <w:r w:rsidRPr="006D0FFB">
        <w:rPr>
          <w:rFonts w:ascii="Verdana" w:hAnsi="Verdana" w:cs="Arial"/>
          <w:b/>
          <w:sz w:val="20"/>
          <w:szCs w:val="20"/>
        </w:rPr>
        <w:t>The Health and Safety at Work Act 1974 (HSAW Act)</w:t>
      </w:r>
    </w:p>
    <w:p w:rsidR="006D0FFB" w:rsidRPr="006D0FFB" w:rsidRDefault="006D0FFB" w:rsidP="006D0FFB">
      <w:pPr>
        <w:ind w:left="709"/>
        <w:jc w:val="both"/>
        <w:rPr>
          <w:rFonts w:ascii="Verdana" w:hAnsi="Verdana" w:cs="Arial"/>
          <w:sz w:val="20"/>
          <w:szCs w:val="20"/>
        </w:rPr>
      </w:pPr>
      <w:r w:rsidRPr="006D0FFB">
        <w:rPr>
          <w:rFonts w:ascii="Verdana" w:hAnsi="Verdana" w:cs="Arial"/>
          <w:sz w:val="20"/>
          <w:szCs w:val="20"/>
        </w:rPr>
        <w:t>Employers have a legal duty under this act to ensure, so far is as reasonably practicable, the health, safety and welfare of their employees while they are at work.</w:t>
      </w:r>
    </w:p>
    <w:p w:rsidR="006D0FFB" w:rsidRPr="006D0FFB" w:rsidRDefault="006D0FFB" w:rsidP="006D0FFB">
      <w:pPr>
        <w:numPr>
          <w:ilvl w:val="0"/>
          <w:numId w:val="20"/>
        </w:numPr>
        <w:spacing w:after="0" w:line="240" w:lineRule="auto"/>
        <w:jc w:val="both"/>
        <w:rPr>
          <w:rFonts w:ascii="Verdana" w:hAnsi="Verdana" w:cs="Arial"/>
          <w:sz w:val="20"/>
          <w:szCs w:val="20"/>
        </w:rPr>
      </w:pPr>
      <w:r w:rsidRPr="006D0FFB">
        <w:rPr>
          <w:rFonts w:ascii="Verdana" w:hAnsi="Verdana" w:cs="Arial"/>
          <w:b/>
          <w:sz w:val="20"/>
          <w:szCs w:val="20"/>
        </w:rPr>
        <w:t>The Management of Health and Safety at Work Regulations 1999</w:t>
      </w:r>
    </w:p>
    <w:p w:rsidR="006D0FFB" w:rsidRPr="006D0FFB" w:rsidRDefault="006D0FFB" w:rsidP="006D0FFB">
      <w:pPr>
        <w:ind w:left="709"/>
        <w:jc w:val="both"/>
        <w:rPr>
          <w:rFonts w:ascii="Verdana" w:hAnsi="Verdana" w:cs="Arial"/>
          <w:sz w:val="20"/>
          <w:szCs w:val="20"/>
        </w:rPr>
      </w:pPr>
      <w:r w:rsidRPr="006D0FFB">
        <w:rPr>
          <w:rFonts w:ascii="Verdana" w:hAnsi="Verdana" w:cs="Arial"/>
          <w:sz w:val="20"/>
          <w:szCs w:val="20"/>
        </w:rPr>
        <w:t>Employers must consider the risks to employees (including the risk of reasonably foreseeable violence); decide how significant these risks are; decide what to do to prevent or control the risks; and develop a clear management plan to achieve this.</w:t>
      </w:r>
    </w:p>
    <w:p w:rsidR="006D0FFB" w:rsidRPr="006D0FFB" w:rsidRDefault="006D0FFB" w:rsidP="006D0FFB">
      <w:pPr>
        <w:numPr>
          <w:ilvl w:val="0"/>
          <w:numId w:val="20"/>
        </w:numPr>
        <w:spacing w:after="0" w:line="240" w:lineRule="auto"/>
        <w:jc w:val="both"/>
        <w:rPr>
          <w:rFonts w:ascii="Verdana" w:hAnsi="Verdana" w:cs="Arial"/>
          <w:sz w:val="20"/>
          <w:szCs w:val="20"/>
        </w:rPr>
      </w:pPr>
      <w:r w:rsidRPr="006D0FFB">
        <w:rPr>
          <w:rFonts w:ascii="Verdana" w:hAnsi="Verdana" w:cs="Arial"/>
          <w:b/>
          <w:sz w:val="20"/>
          <w:szCs w:val="20"/>
        </w:rPr>
        <w:t>The Reporting of Injuries, Diseases and Da</w:t>
      </w:r>
      <w:r w:rsidR="00482588">
        <w:rPr>
          <w:rFonts w:ascii="Verdana" w:hAnsi="Verdana" w:cs="Arial"/>
          <w:b/>
          <w:sz w:val="20"/>
          <w:szCs w:val="20"/>
        </w:rPr>
        <w:t>ngerous Occurrence Regulations 2013</w:t>
      </w:r>
      <w:r w:rsidRPr="006D0FFB">
        <w:rPr>
          <w:rFonts w:ascii="Verdana" w:hAnsi="Verdana" w:cs="Arial"/>
          <w:b/>
          <w:sz w:val="20"/>
          <w:szCs w:val="20"/>
        </w:rPr>
        <w:t xml:space="preserve"> (RIDDOR)</w:t>
      </w:r>
    </w:p>
    <w:p w:rsidR="006D0FFB" w:rsidRDefault="006D0FFB" w:rsidP="006D0FFB">
      <w:pPr>
        <w:ind w:left="709"/>
        <w:jc w:val="both"/>
        <w:rPr>
          <w:rFonts w:ascii="Verdana" w:hAnsi="Verdana" w:cs="Arial"/>
          <w:sz w:val="20"/>
          <w:szCs w:val="20"/>
        </w:rPr>
      </w:pPr>
      <w:r w:rsidRPr="006D0FFB">
        <w:rPr>
          <w:rFonts w:ascii="Verdana" w:hAnsi="Verdana" w:cs="Arial"/>
          <w:sz w:val="20"/>
          <w:szCs w:val="20"/>
        </w:rPr>
        <w:t>Employers must notify their enforcing authority in the event of an accident/incident at work to any employee resulting in death, major injury or incapacity for normal work for more than three days. This includes any act of non-consensual physical violence against a person at work.</w:t>
      </w:r>
    </w:p>
    <w:p w:rsidR="00B16CB9" w:rsidRDefault="00B16CB9" w:rsidP="006D0FFB">
      <w:pPr>
        <w:ind w:left="709"/>
        <w:jc w:val="both"/>
        <w:rPr>
          <w:rFonts w:ascii="Verdana" w:hAnsi="Verdana" w:cs="Arial"/>
          <w:sz w:val="20"/>
          <w:szCs w:val="20"/>
        </w:rPr>
      </w:pPr>
    </w:p>
    <w:p w:rsidR="006D0FFB" w:rsidRPr="006D0FFB" w:rsidRDefault="006D0FFB" w:rsidP="006D0FFB">
      <w:pPr>
        <w:numPr>
          <w:ilvl w:val="0"/>
          <w:numId w:val="19"/>
        </w:numPr>
        <w:spacing w:after="0" w:line="240" w:lineRule="auto"/>
        <w:ind w:left="709" w:hanging="709"/>
        <w:jc w:val="both"/>
        <w:rPr>
          <w:rFonts w:ascii="Verdana" w:hAnsi="Verdana" w:cs="Arial"/>
          <w:b/>
          <w:sz w:val="20"/>
          <w:szCs w:val="20"/>
        </w:rPr>
      </w:pPr>
      <w:r w:rsidRPr="006D0FFB">
        <w:rPr>
          <w:rFonts w:ascii="Verdana" w:hAnsi="Verdana" w:cs="Arial"/>
          <w:b/>
          <w:sz w:val="20"/>
          <w:szCs w:val="20"/>
        </w:rPr>
        <w:lastRenderedPageBreak/>
        <w:t>Policy</w:t>
      </w:r>
    </w:p>
    <w:p w:rsidR="006D0FFB" w:rsidRPr="006D0FFB" w:rsidRDefault="006D0FFB" w:rsidP="006D0FFB">
      <w:pPr>
        <w:jc w:val="both"/>
        <w:rPr>
          <w:rFonts w:ascii="Verdana" w:hAnsi="Verdana" w:cs="Arial"/>
          <w:sz w:val="20"/>
          <w:szCs w:val="20"/>
        </w:rPr>
      </w:pPr>
    </w:p>
    <w:p w:rsidR="006D0FFB" w:rsidRDefault="006D0FFB" w:rsidP="006D0FFB">
      <w:pPr>
        <w:numPr>
          <w:ilvl w:val="1"/>
          <w:numId w:val="19"/>
        </w:numPr>
        <w:spacing w:after="0" w:line="240" w:lineRule="auto"/>
        <w:ind w:left="709" w:hanging="709"/>
        <w:jc w:val="both"/>
        <w:rPr>
          <w:rFonts w:ascii="Verdana" w:hAnsi="Verdana" w:cs="Arial"/>
          <w:sz w:val="20"/>
          <w:szCs w:val="20"/>
        </w:rPr>
      </w:pPr>
      <w:r w:rsidRPr="006D0FFB">
        <w:rPr>
          <w:rFonts w:ascii="Verdana" w:hAnsi="Verdana" w:cs="Arial"/>
          <w:sz w:val="20"/>
          <w:szCs w:val="20"/>
        </w:rPr>
        <w:t xml:space="preserve">The governors of </w:t>
      </w:r>
      <w:r>
        <w:rPr>
          <w:rFonts w:ascii="Verdana" w:hAnsi="Verdana" w:cs="Arial"/>
          <w:sz w:val="20"/>
          <w:szCs w:val="20"/>
        </w:rPr>
        <w:t>Highcliffe School</w:t>
      </w:r>
      <w:r w:rsidRPr="006D0FFB">
        <w:rPr>
          <w:rFonts w:ascii="Verdana" w:hAnsi="Verdana" w:cs="Arial"/>
          <w:sz w:val="20"/>
          <w:szCs w:val="20"/>
        </w:rPr>
        <w:t xml:space="preserve"> believe that all violence to employees at </w:t>
      </w:r>
      <w:r>
        <w:rPr>
          <w:rFonts w:ascii="Verdana" w:hAnsi="Verdana" w:cs="Arial"/>
          <w:sz w:val="20"/>
          <w:szCs w:val="20"/>
        </w:rPr>
        <w:t>Highcliffe School</w:t>
      </w:r>
      <w:r w:rsidRPr="006D0FFB">
        <w:rPr>
          <w:rFonts w:ascii="Verdana" w:hAnsi="Verdana" w:cs="Arial"/>
          <w:sz w:val="20"/>
          <w:szCs w:val="20"/>
        </w:rPr>
        <w:t xml:space="preserve"> is unacceptable and is committed to providing full support to any employee who suffers violence in the course of, or arising out of, their official duties.</w:t>
      </w:r>
    </w:p>
    <w:p w:rsidR="00370EBF" w:rsidRPr="006D0FFB" w:rsidRDefault="00370EBF" w:rsidP="00370EBF">
      <w:pPr>
        <w:spacing w:after="0" w:line="240" w:lineRule="auto"/>
        <w:ind w:left="709"/>
        <w:jc w:val="both"/>
        <w:rPr>
          <w:rFonts w:ascii="Verdana" w:hAnsi="Verdana" w:cs="Arial"/>
          <w:sz w:val="20"/>
          <w:szCs w:val="20"/>
        </w:rPr>
      </w:pPr>
    </w:p>
    <w:p w:rsidR="006D0FFB" w:rsidRPr="006D0FFB" w:rsidRDefault="006D0FFB" w:rsidP="006D0FFB">
      <w:pPr>
        <w:ind w:left="709" w:hanging="709"/>
        <w:jc w:val="both"/>
        <w:rPr>
          <w:rFonts w:ascii="Verdana" w:hAnsi="Verdana" w:cs="Arial"/>
          <w:sz w:val="20"/>
          <w:szCs w:val="20"/>
        </w:rPr>
      </w:pPr>
      <w:r w:rsidRPr="006D0FFB">
        <w:rPr>
          <w:rFonts w:ascii="Verdana" w:hAnsi="Verdana" w:cs="Arial"/>
          <w:sz w:val="20"/>
          <w:szCs w:val="20"/>
        </w:rPr>
        <w:t>4.2</w:t>
      </w:r>
      <w:r w:rsidRPr="006D0FFB">
        <w:rPr>
          <w:rFonts w:ascii="Verdana" w:hAnsi="Verdana" w:cs="Arial"/>
          <w:sz w:val="20"/>
          <w:szCs w:val="20"/>
        </w:rPr>
        <w:tab/>
        <w:t xml:space="preserve">Information will be available to members of the public in the form of a statement that violence is unacceptable and the governors of </w:t>
      </w:r>
      <w:r>
        <w:rPr>
          <w:rFonts w:ascii="Verdana" w:hAnsi="Verdana" w:cs="Arial"/>
          <w:sz w:val="20"/>
          <w:szCs w:val="20"/>
        </w:rPr>
        <w:t>Highcliffe School</w:t>
      </w:r>
      <w:r w:rsidRPr="006D0FFB">
        <w:rPr>
          <w:rFonts w:ascii="Verdana" w:hAnsi="Verdana" w:cs="Arial"/>
          <w:sz w:val="20"/>
          <w:szCs w:val="20"/>
        </w:rPr>
        <w:t xml:space="preserve"> will take legal proceedings if necessary to maintain the safety and well-being of its employees.</w:t>
      </w:r>
    </w:p>
    <w:p w:rsidR="006D0FFB" w:rsidRPr="006D0FFB" w:rsidRDefault="006D0FFB" w:rsidP="006D0FFB">
      <w:pPr>
        <w:ind w:left="709" w:hanging="709"/>
        <w:jc w:val="both"/>
        <w:rPr>
          <w:rFonts w:ascii="Verdana" w:hAnsi="Verdana" w:cs="Arial"/>
          <w:sz w:val="20"/>
          <w:szCs w:val="20"/>
        </w:rPr>
      </w:pPr>
      <w:r w:rsidRPr="006D0FFB">
        <w:rPr>
          <w:rFonts w:ascii="Verdana" w:hAnsi="Verdana" w:cs="Arial"/>
          <w:sz w:val="20"/>
          <w:szCs w:val="20"/>
        </w:rPr>
        <w:t>4.3</w:t>
      </w:r>
      <w:r w:rsidRPr="006D0FFB">
        <w:rPr>
          <w:rFonts w:ascii="Verdana" w:hAnsi="Verdana" w:cs="Arial"/>
          <w:sz w:val="20"/>
          <w:szCs w:val="20"/>
        </w:rPr>
        <w:tab/>
        <w:t>All incidents of verbal abuse or physical violence will be treated seriously and responded to appropriately. On no account will such incidents be treated lightly or dismissed as part of everyday life, nor will a violent incident be viewed as a reflection on an individual employee’s ability.</w:t>
      </w:r>
    </w:p>
    <w:p w:rsidR="006D0FFB" w:rsidRPr="006D0FFB" w:rsidRDefault="006D0FFB" w:rsidP="006D0FFB">
      <w:pPr>
        <w:ind w:left="709" w:hanging="709"/>
        <w:jc w:val="both"/>
        <w:rPr>
          <w:rFonts w:ascii="Verdana" w:hAnsi="Verdana" w:cs="Arial"/>
          <w:sz w:val="20"/>
          <w:szCs w:val="20"/>
        </w:rPr>
      </w:pPr>
      <w:r w:rsidRPr="006D0FFB">
        <w:rPr>
          <w:rFonts w:ascii="Verdana" w:hAnsi="Verdana" w:cs="Arial"/>
          <w:sz w:val="20"/>
          <w:szCs w:val="20"/>
        </w:rPr>
        <w:t>4.4</w:t>
      </w:r>
      <w:r w:rsidRPr="006D0FFB">
        <w:rPr>
          <w:rFonts w:ascii="Verdana" w:hAnsi="Verdana" w:cs="Arial"/>
          <w:sz w:val="20"/>
          <w:szCs w:val="20"/>
        </w:rPr>
        <w:tab/>
        <w:t>All incidents of verbal abuse or violence must be reported to the Headteacher and investigated; and appropriate action taken to minimise the risk of a recurrence. This may include the need to share information with colleagues and across schools to establish any pattern of violence from particular areas.</w:t>
      </w:r>
    </w:p>
    <w:p w:rsidR="006D0FFB" w:rsidRPr="006D0FFB" w:rsidRDefault="006D0FFB" w:rsidP="006D0FFB">
      <w:pPr>
        <w:ind w:left="709" w:hanging="709"/>
        <w:jc w:val="both"/>
        <w:rPr>
          <w:rFonts w:ascii="Verdana" w:hAnsi="Verdana" w:cs="Arial"/>
          <w:sz w:val="20"/>
          <w:szCs w:val="20"/>
        </w:rPr>
      </w:pPr>
      <w:r w:rsidRPr="006D0FFB">
        <w:rPr>
          <w:rFonts w:ascii="Verdana" w:hAnsi="Verdana" w:cs="Arial"/>
          <w:sz w:val="20"/>
          <w:szCs w:val="20"/>
        </w:rPr>
        <w:t>4.5</w:t>
      </w:r>
      <w:r w:rsidRPr="006D0FFB">
        <w:rPr>
          <w:rFonts w:ascii="Verdana" w:hAnsi="Verdana" w:cs="Arial"/>
          <w:sz w:val="20"/>
          <w:szCs w:val="20"/>
        </w:rPr>
        <w:tab/>
        <w:t xml:space="preserve">Guidance on the reporting of incidents and reporting forms can be found in the Accident Reporting Policy and Procedure </w:t>
      </w:r>
      <w:r>
        <w:rPr>
          <w:rFonts w:ascii="Verdana" w:hAnsi="Verdana" w:cs="Arial"/>
          <w:sz w:val="20"/>
          <w:szCs w:val="20"/>
        </w:rPr>
        <w:t>on the schools website under policies.</w:t>
      </w:r>
      <w:r w:rsidRPr="006D0FFB">
        <w:rPr>
          <w:rFonts w:ascii="Verdana" w:hAnsi="Verdana" w:cs="Arial"/>
          <w:sz w:val="20"/>
          <w:szCs w:val="20"/>
        </w:rPr>
        <w:t xml:space="preserve"> </w:t>
      </w:r>
    </w:p>
    <w:p w:rsidR="006D0FFB" w:rsidRPr="006D0FFB" w:rsidRDefault="006D0FFB" w:rsidP="006D0FFB">
      <w:pPr>
        <w:ind w:left="709" w:hanging="709"/>
        <w:jc w:val="both"/>
        <w:rPr>
          <w:rFonts w:ascii="Verdana" w:hAnsi="Verdana" w:cs="Arial"/>
          <w:sz w:val="20"/>
          <w:szCs w:val="20"/>
        </w:rPr>
      </w:pPr>
      <w:r w:rsidRPr="006D0FFB">
        <w:rPr>
          <w:rFonts w:ascii="Verdana" w:hAnsi="Verdana" w:cs="Arial"/>
          <w:sz w:val="20"/>
          <w:szCs w:val="20"/>
        </w:rPr>
        <w:t>4.6</w:t>
      </w:r>
      <w:r w:rsidRPr="006D0FFB">
        <w:rPr>
          <w:rFonts w:ascii="Verdana" w:hAnsi="Verdana" w:cs="Arial"/>
          <w:sz w:val="20"/>
          <w:szCs w:val="20"/>
        </w:rPr>
        <w:tab/>
        <w:t>Where serious threats are made to an employee in the course of his/her employment, the Headteacher and/or Chair of Governors will take appropriate and supportive action to prevent any recurrence. This may include sending a formal letter to the person concerned warning that legal action will be take</w:t>
      </w:r>
      <w:r>
        <w:rPr>
          <w:rFonts w:ascii="Verdana" w:hAnsi="Verdana" w:cs="Arial"/>
          <w:sz w:val="20"/>
          <w:szCs w:val="20"/>
        </w:rPr>
        <w:t>n if a breach of the law occurs.</w:t>
      </w:r>
    </w:p>
    <w:p w:rsidR="006D0FFB" w:rsidRDefault="006D0FFB" w:rsidP="00B16CB9">
      <w:pPr>
        <w:ind w:left="709" w:hanging="709"/>
        <w:jc w:val="both"/>
        <w:rPr>
          <w:rFonts w:ascii="Verdana" w:hAnsi="Verdana" w:cs="Arial"/>
          <w:sz w:val="20"/>
          <w:szCs w:val="20"/>
        </w:rPr>
      </w:pPr>
      <w:r w:rsidRPr="006D0FFB">
        <w:rPr>
          <w:rFonts w:ascii="Verdana" w:hAnsi="Verdana" w:cs="Arial"/>
          <w:sz w:val="20"/>
          <w:szCs w:val="20"/>
        </w:rPr>
        <w:t>4.7</w:t>
      </w:r>
      <w:r w:rsidRPr="006D0FFB">
        <w:rPr>
          <w:rFonts w:ascii="Verdana" w:hAnsi="Verdana" w:cs="Arial"/>
          <w:sz w:val="20"/>
          <w:szCs w:val="20"/>
        </w:rPr>
        <w:tab/>
        <w:t xml:space="preserve">An employee who has been occasioned harm in any way, including threats or psychological damage or who has suffered damage to their property, should be actively encouraged to report the matter to the Police. Every opportunity should be taken to prosecute offenders either by the Police, or in certain circumstances, individuals may wish to initiate legal proceedings themselves. </w:t>
      </w:r>
      <w:r>
        <w:rPr>
          <w:rFonts w:ascii="Verdana" w:hAnsi="Verdana" w:cs="Arial"/>
          <w:sz w:val="20"/>
          <w:szCs w:val="20"/>
        </w:rPr>
        <w:t>Highcliffe School</w:t>
      </w:r>
      <w:r w:rsidRPr="006D0FFB">
        <w:rPr>
          <w:rFonts w:ascii="Verdana" w:hAnsi="Verdana" w:cs="Arial"/>
          <w:sz w:val="20"/>
          <w:szCs w:val="20"/>
        </w:rPr>
        <w:t xml:space="preserve">, and the wider County Council where appropriate, will ensure that employees are supported through the prosecution process.  </w:t>
      </w:r>
    </w:p>
    <w:p w:rsidR="006D0FFB" w:rsidRPr="006D0FFB" w:rsidRDefault="006D0FFB" w:rsidP="006D0FFB">
      <w:pPr>
        <w:jc w:val="both"/>
        <w:rPr>
          <w:rFonts w:ascii="Verdana" w:hAnsi="Verdana" w:cs="Arial"/>
          <w:b/>
          <w:sz w:val="20"/>
          <w:szCs w:val="20"/>
        </w:rPr>
      </w:pPr>
      <w:r w:rsidRPr="006D0FFB">
        <w:rPr>
          <w:rFonts w:ascii="Verdana" w:hAnsi="Verdana" w:cs="Arial"/>
          <w:b/>
          <w:sz w:val="20"/>
          <w:szCs w:val="20"/>
        </w:rPr>
        <w:t>5</w:t>
      </w:r>
      <w:r w:rsidRPr="006D0FFB">
        <w:rPr>
          <w:rFonts w:ascii="Verdana" w:hAnsi="Verdana" w:cs="Arial"/>
          <w:b/>
          <w:sz w:val="20"/>
          <w:szCs w:val="20"/>
        </w:rPr>
        <w:tab/>
        <w:t>Risk Assessment</w:t>
      </w:r>
    </w:p>
    <w:p w:rsidR="006D0FFB" w:rsidRDefault="006D0FFB" w:rsidP="006D0FFB">
      <w:pPr>
        <w:ind w:left="709" w:hanging="709"/>
        <w:jc w:val="both"/>
        <w:rPr>
          <w:rFonts w:ascii="Verdana" w:hAnsi="Verdana" w:cs="Arial"/>
          <w:sz w:val="20"/>
          <w:szCs w:val="20"/>
        </w:rPr>
      </w:pPr>
      <w:r w:rsidRPr="006D0FFB">
        <w:rPr>
          <w:rFonts w:ascii="Verdana" w:hAnsi="Verdana" w:cs="Arial"/>
          <w:sz w:val="20"/>
          <w:szCs w:val="20"/>
        </w:rPr>
        <w:t>5.1</w:t>
      </w:r>
      <w:r w:rsidRPr="006D0FFB">
        <w:rPr>
          <w:rFonts w:ascii="Verdana" w:hAnsi="Verdana" w:cs="Arial"/>
          <w:sz w:val="20"/>
          <w:szCs w:val="20"/>
        </w:rPr>
        <w:tab/>
        <w:t xml:space="preserve">By looking at the roles employees undertake, and the context in which they work, it is possible to identify the potential for violence. When undertaking a risk assessment it is essential to identify individual causes of risk, and equally important to recognise that these risk factors rarely occur in isolation and when combined will have the potential to increase the risk of violence. As such, employees may face a series of combined risk factors such as threatening behaviour from </w:t>
      </w:r>
      <w:r>
        <w:rPr>
          <w:rFonts w:ascii="Verdana" w:hAnsi="Verdana" w:cs="Arial"/>
          <w:sz w:val="20"/>
          <w:szCs w:val="20"/>
        </w:rPr>
        <w:t>Student</w:t>
      </w:r>
      <w:r w:rsidRPr="006D0FFB">
        <w:rPr>
          <w:rFonts w:ascii="Verdana" w:hAnsi="Verdana" w:cs="Arial"/>
          <w:sz w:val="20"/>
          <w:szCs w:val="20"/>
        </w:rPr>
        <w:t>s which may be supported and/or influenced by the parent/carer.</w:t>
      </w:r>
    </w:p>
    <w:p w:rsidR="00B16CB9" w:rsidRPr="006D0FFB" w:rsidRDefault="00B16CB9" w:rsidP="006D0FFB">
      <w:pPr>
        <w:ind w:left="709" w:hanging="709"/>
        <w:jc w:val="both"/>
        <w:rPr>
          <w:rFonts w:ascii="Verdana" w:hAnsi="Verdana" w:cs="Arial"/>
          <w:sz w:val="20"/>
          <w:szCs w:val="20"/>
        </w:rPr>
      </w:pPr>
    </w:p>
    <w:p w:rsidR="006D0FFB" w:rsidRPr="006D0FFB" w:rsidRDefault="006D0FFB" w:rsidP="006D0FFB">
      <w:pPr>
        <w:ind w:left="709" w:hanging="709"/>
        <w:jc w:val="both"/>
        <w:rPr>
          <w:rFonts w:ascii="Verdana" w:hAnsi="Verdana" w:cs="Arial"/>
          <w:sz w:val="20"/>
          <w:szCs w:val="20"/>
        </w:rPr>
      </w:pPr>
      <w:r w:rsidRPr="006D0FFB">
        <w:rPr>
          <w:rFonts w:ascii="Verdana" w:hAnsi="Verdana" w:cs="Arial"/>
          <w:sz w:val="20"/>
          <w:szCs w:val="20"/>
        </w:rPr>
        <w:lastRenderedPageBreak/>
        <w:t>5.2</w:t>
      </w:r>
      <w:r w:rsidRPr="006D0FFB">
        <w:rPr>
          <w:rFonts w:ascii="Verdana" w:hAnsi="Verdana" w:cs="Arial"/>
          <w:sz w:val="20"/>
          <w:szCs w:val="20"/>
        </w:rPr>
        <w:tab/>
        <w:t xml:space="preserve">Risk Assessments should be carried out in </w:t>
      </w:r>
      <w:r>
        <w:rPr>
          <w:rFonts w:ascii="Verdana" w:hAnsi="Verdana" w:cs="Arial"/>
          <w:sz w:val="20"/>
          <w:szCs w:val="20"/>
        </w:rPr>
        <w:t>Highcliffe School</w:t>
      </w:r>
      <w:r w:rsidRPr="006D0FFB">
        <w:rPr>
          <w:rFonts w:ascii="Verdana" w:hAnsi="Verdana" w:cs="Arial"/>
          <w:sz w:val="20"/>
          <w:szCs w:val="20"/>
        </w:rPr>
        <w:t xml:space="preserve"> where violence poses a significant risk to employees. Any recommendations arising out of the assessment should seek to eliminate or reduce the risk to the lowest reasonable practicable level. </w:t>
      </w:r>
    </w:p>
    <w:p w:rsidR="006D0FFB" w:rsidRPr="006D0FFB" w:rsidRDefault="006D0FFB" w:rsidP="006D0FFB">
      <w:pPr>
        <w:ind w:left="709" w:hanging="709"/>
        <w:jc w:val="both"/>
        <w:rPr>
          <w:rFonts w:ascii="Verdana" w:hAnsi="Verdana" w:cs="Arial"/>
          <w:sz w:val="20"/>
          <w:szCs w:val="20"/>
        </w:rPr>
      </w:pPr>
      <w:r w:rsidRPr="006D0FFB">
        <w:rPr>
          <w:rFonts w:ascii="Verdana" w:hAnsi="Verdana" w:cs="Arial"/>
          <w:sz w:val="20"/>
          <w:szCs w:val="20"/>
        </w:rPr>
        <w:tab/>
        <w:t xml:space="preserve">Where the risk assessment identifies that the risk(s) may not be contained within the setting of </w:t>
      </w:r>
      <w:r>
        <w:rPr>
          <w:rFonts w:ascii="Verdana" w:hAnsi="Verdana" w:cs="Arial"/>
          <w:sz w:val="20"/>
          <w:szCs w:val="20"/>
        </w:rPr>
        <w:t>Highcliffe School</w:t>
      </w:r>
      <w:r w:rsidRPr="006D0FFB">
        <w:rPr>
          <w:rFonts w:ascii="Verdana" w:hAnsi="Verdana" w:cs="Arial"/>
          <w:sz w:val="20"/>
          <w:szCs w:val="20"/>
        </w:rPr>
        <w:t>, it may be appropriate to share information with colleagues as outlined in Paragraph 4.4 above.</w:t>
      </w:r>
    </w:p>
    <w:p w:rsidR="006D0FFB" w:rsidRPr="006D0FFB" w:rsidRDefault="006D0FFB" w:rsidP="006D0FFB">
      <w:pPr>
        <w:ind w:left="709"/>
        <w:jc w:val="both"/>
        <w:rPr>
          <w:rFonts w:ascii="Verdana" w:hAnsi="Verdana" w:cs="Arial"/>
          <w:sz w:val="20"/>
          <w:szCs w:val="20"/>
        </w:rPr>
      </w:pPr>
      <w:r w:rsidRPr="006D0FFB">
        <w:rPr>
          <w:rFonts w:ascii="Verdana" w:hAnsi="Verdana" w:cs="Arial"/>
          <w:sz w:val="20"/>
          <w:szCs w:val="20"/>
        </w:rPr>
        <w:t xml:space="preserve">Further information and guidance on the risk assessment process is available </w:t>
      </w:r>
      <w:r>
        <w:rPr>
          <w:rFonts w:ascii="Verdana" w:hAnsi="Verdana" w:cs="Arial"/>
          <w:sz w:val="20"/>
          <w:szCs w:val="20"/>
        </w:rPr>
        <w:t xml:space="preserve">on the staff area of the schools website under Health and Safety advice. </w:t>
      </w:r>
      <w:r w:rsidRPr="006D0FFB">
        <w:rPr>
          <w:rFonts w:ascii="Verdana" w:hAnsi="Verdana" w:cs="Arial"/>
          <w:sz w:val="20"/>
          <w:szCs w:val="20"/>
        </w:rPr>
        <w:t xml:space="preserve">Further information on the risks of lone working, together with guidance for lone workers is available </w:t>
      </w:r>
      <w:r>
        <w:rPr>
          <w:rFonts w:ascii="Verdana" w:hAnsi="Verdana" w:cs="Arial"/>
          <w:sz w:val="20"/>
          <w:szCs w:val="20"/>
        </w:rPr>
        <w:t>at the same location.</w:t>
      </w:r>
    </w:p>
    <w:p w:rsidR="006D0FFB" w:rsidRPr="006D0FFB" w:rsidRDefault="006D0FFB" w:rsidP="00B16CB9">
      <w:pPr>
        <w:ind w:left="709" w:hanging="709"/>
        <w:jc w:val="both"/>
        <w:rPr>
          <w:rFonts w:ascii="Verdana" w:hAnsi="Verdana" w:cs="Arial"/>
          <w:sz w:val="20"/>
          <w:szCs w:val="20"/>
        </w:rPr>
      </w:pPr>
      <w:r w:rsidRPr="006D0FFB">
        <w:rPr>
          <w:rFonts w:ascii="Verdana" w:hAnsi="Verdana" w:cs="Arial"/>
          <w:sz w:val="20"/>
          <w:szCs w:val="20"/>
        </w:rPr>
        <w:t>5.3</w:t>
      </w:r>
      <w:r w:rsidRPr="006D0FFB">
        <w:rPr>
          <w:rFonts w:ascii="Verdana" w:hAnsi="Verdana" w:cs="Arial"/>
          <w:sz w:val="20"/>
          <w:szCs w:val="20"/>
        </w:rPr>
        <w:tab/>
        <w:t xml:space="preserve">It is recognised that the behaviour of some </w:t>
      </w:r>
      <w:r>
        <w:rPr>
          <w:rFonts w:ascii="Verdana" w:hAnsi="Verdana" w:cs="Arial"/>
          <w:sz w:val="20"/>
          <w:szCs w:val="20"/>
        </w:rPr>
        <w:t>Student</w:t>
      </w:r>
      <w:r w:rsidRPr="006D0FFB">
        <w:rPr>
          <w:rFonts w:ascii="Verdana" w:hAnsi="Verdana" w:cs="Arial"/>
          <w:sz w:val="20"/>
          <w:szCs w:val="20"/>
        </w:rPr>
        <w:t xml:space="preserve">s may present particular challenges </w:t>
      </w:r>
      <w:r>
        <w:rPr>
          <w:rFonts w:ascii="Verdana" w:hAnsi="Verdana" w:cs="Arial"/>
          <w:sz w:val="20"/>
          <w:szCs w:val="20"/>
        </w:rPr>
        <w:t xml:space="preserve"> </w:t>
      </w:r>
      <w:r w:rsidRPr="006D0FFB">
        <w:rPr>
          <w:rFonts w:ascii="Verdana" w:hAnsi="Verdana" w:cs="Arial"/>
          <w:sz w:val="20"/>
          <w:szCs w:val="20"/>
        </w:rPr>
        <w:t xml:space="preserve">to </w:t>
      </w:r>
      <w:r>
        <w:rPr>
          <w:rFonts w:ascii="Verdana" w:hAnsi="Verdana" w:cs="Arial"/>
          <w:sz w:val="20"/>
          <w:szCs w:val="20"/>
        </w:rPr>
        <w:t xml:space="preserve">employees. Specific advice can be gained via the schools </w:t>
      </w:r>
      <w:r w:rsidR="00482588">
        <w:rPr>
          <w:rFonts w:ascii="Verdana" w:hAnsi="Verdana" w:cs="Arial"/>
          <w:sz w:val="20"/>
          <w:szCs w:val="20"/>
        </w:rPr>
        <w:t>SENDCO.</w:t>
      </w:r>
      <w:bookmarkStart w:id="0" w:name="_GoBack"/>
      <w:bookmarkEnd w:id="0"/>
    </w:p>
    <w:p w:rsidR="006D0FFB" w:rsidRPr="006D0FFB" w:rsidRDefault="006D0FFB" w:rsidP="006D0FFB">
      <w:pPr>
        <w:ind w:left="709" w:hanging="709"/>
        <w:jc w:val="both"/>
        <w:rPr>
          <w:rFonts w:ascii="Verdana" w:hAnsi="Verdana" w:cs="Arial"/>
          <w:sz w:val="20"/>
          <w:szCs w:val="20"/>
        </w:rPr>
      </w:pPr>
      <w:r w:rsidRPr="006D0FFB">
        <w:rPr>
          <w:rFonts w:ascii="Verdana" w:hAnsi="Verdana" w:cs="Arial"/>
          <w:b/>
          <w:sz w:val="20"/>
          <w:szCs w:val="20"/>
        </w:rPr>
        <w:t>6</w:t>
      </w:r>
      <w:r w:rsidRPr="006D0FFB">
        <w:rPr>
          <w:rFonts w:ascii="Verdana" w:hAnsi="Verdana" w:cs="Arial"/>
          <w:b/>
          <w:sz w:val="20"/>
          <w:szCs w:val="20"/>
        </w:rPr>
        <w:tab/>
        <w:t>Legal position</w:t>
      </w:r>
      <w:r w:rsidRPr="006D0FFB">
        <w:rPr>
          <w:rFonts w:ascii="Verdana" w:hAnsi="Verdana" w:cs="Arial"/>
          <w:sz w:val="20"/>
          <w:szCs w:val="20"/>
        </w:rPr>
        <w:t xml:space="preserve"> </w:t>
      </w:r>
    </w:p>
    <w:p w:rsidR="006D0FFB" w:rsidRDefault="00B16CB9" w:rsidP="00B16CB9">
      <w:pPr>
        <w:tabs>
          <w:tab w:val="left" w:pos="7965"/>
        </w:tabs>
        <w:spacing w:after="0"/>
        <w:ind w:left="709" w:hanging="709"/>
        <w:jc w:val="both"/>
        <w:rPr>
          <w:rFonts w:ascii="Verdana" w:hAnsi="Verdana" w:cs="Arial"/>
          <w:sz w:val="20"/>
          <w:szCs w:val="20"/>
        </w:rPr>
      </w:pPr>
      <w:r>
        <w:rPr>
          <w:rFonts w:ascii="Verdana" w:hAnsi="Verdana" w:cs="Arial"/>
          <w:sz w:val="20"/>
          <w:szCs w:val="20"/>
        </w:rPr>
        <w:t xml:space="preserve">6.1   </w:t>
      </w:r>
      <w:r w:rsidR="006D0FFB" w:rsidRPr="006D0FFB">
        <w:rPr>
          <w:rFonts w:ascii="Verdana" w:hAnsi="Verdana" w:cs="Arial"/>
          <w:sz w:val="20"/>
          <w:szCs w:val="20"/>
        </w:rPr>
        <w:t xml:space="preserve">Physical restraint used in self-defence is acceptable in law, but only with the minimum force necessary. This means that it is reasonable for employees to use sufficient force to stop or control violent situations, or prevent themselves or other people from being injured. Risk Assessments should be carried out in </w:t>
      </w:r>
      <w:r w:rsidR="006D0FFB">
        <w:rPr>
          <w:rFonts w:ascii="Verdana" w:hAnsi="Verdana" w:cs="Arial"/>
          <w:sz w:val="20"/>
          <w:szCs w:val="20"/>
        </w:rPr>
        <w:t>Highcliffe School</w:t>
      </w:r>
      <w:r w:rsidR="006D0FFB" w:rsidRPr="006D0FFB">
        <w:rPr>
          <w:rFonts w:ascii="Verdana" w:hAnsi="Verdana" w:cs="Arial"/>
          <w:sz w:val="20"/>
          <w:szCs w:val="20"/>
        </w:rPr>
        <w:t xml:space="preserve"> where violence poses a significant risk to employees (see Paragraph 5). Whilst the risk of an employee being in a situation where the only way to protect themselves is to cause harm to the violent person is unlikely, it is accepted in law. In deciding whether the force used was reasonable, the courts will consider all of the circumstances surrounding the violent situation.</w:t>
      </w:r>
    </w:p>
    <w:p w:rsidR="00B16CB9" w:rsidRPr="006D0FFB" w:rsidRDefault="00B16CB9" w:rsidP="00B16CB9">
      <w:pPr>
        <w:tabs>
          <w:tab w:val="left" w:pos="7965"/>
        </w:tabs>
        <w:spacing w:after="0"/>
        <w:jc w:val="both"/>
        <w:rPr>
          <w:rFonts w:ascii="Verdana" w:hAnsi="Verdana" w:cs="Arial"/>
          <w:sz w:val="20"/>
          <w:szCs w:val="20"/>
        </w:rPr>
      </w:pPr>
    </w:p>
    <w:p w:rsidR="00B16CB9" w:rsidRDefault="00B16CB9" w:rsidP="00B16CB9">
      <w:pPr>
        <w:tabs>
          <w:tab w:val="left" w:pos="7965"/>
        </w:tabs>
        <w:spacing w:after="0"/>
        <w:rPr>
          <w:rFonts w:ascii="Verdana" w:hAnsi="Verdana" w:cs="Arial"/>
          <w:sz w:val="20"/>
          <w:szCs w:val="20"/>
        </w:rPr>
      </w:pPr>
      <w:r>
        <w:rPr>
          <w:rFonts w:ascii="Verdana" w:hAnsi="Verdana" w:cs="Arial"/>
          <w:sz w:val="20"/>
          <w:szCs w:val="20"/>
        </w:rPr>
        <w:t xml:space="preserve">6.2     </w:t>
      </w:r>
      <w:r w:rsidR="006D0FFB" w:rsidRPr="006D0FFB">
        <w:rPr>
          <w:rFonts w:ascii="Verdana" w:hAnsi="Verdana" w:cs="Arial"/>
          <w:sz w:val="20"/>
          <w:szCs w:val="20"/>
        </w:rPr>
        <w:t>There is no legal definition of when it is reasonable t</w:t>
      </w:r>
      <w:r>
        <w:rPr>
          <w:rFonts w:ascii="Verdana" w:hAnsi="Verdana" w:cs="Arial"/>
          <w:sz w:val="20"/>
          <w:szCs w:val="20"/>
        </w:rPr>
        <w:t xml:space="preserve">o use force as this will always                                    </w:t>
      </w:r>
    </w:p>
    <w:p w:rsidR="00B16CB9" w:rsidRDefault="00B16CB9" w:rsidP="00B16CB9">
      <w:pPr>
        <w:tabs>
          <w:tab w:val="left" w:pos="7965"/>
        </w:tabs>
        <w:spacing w:after="0"/>
        <w:rPr>
          <w:rFonts w:ascii="Verdana" w:hAnsi="Verdana" w:cs="Arial"/>
          <w:sz w:val="20"/>
          <w:szCs w:val="20"/>
        </w:rPr>
      </w:pPr>
      <w:r>
        <w:rPr>
          <w:rFonts w:ascii="Verdana" w:hAnsi="Verdana" w:cs="Arial"/>
          <w:sz w:val="20"/>
          <w:szCs w:val="20"/>
        </w:rPr>
        <w:t xml:space="preserve">          </w:t>
      </w:r>
      <w:r w:rsidR="006D0FFB" w:rsidRPr="006D0FFB">
        <w:rPr>
          <w:rFonts w:ascii="Verdana" w:hAnsi="Verdana" w:cs="Arial"/>
          <w:sz w:val="20"/>
          <w:szCs w:val="20"/>
        </w:rPr>
        <w:t xml:space="preserve">depend on the precise circumstances of individual cases. To be judged lawful, the </w:t>
      </w:r>
      <w:r>
        <w:rPr>
          <w:rFonts w:ascii="Verdana" w:hAnsi="Verdana" w:cs="Arial"/>
          <w:sz w:val="20"/>
          <w:szCs w:val="20"/>
        </w:rPr>
        <w:t xml:space="preserve">    </w:t>
      </w:r>
    </w:p>
    <w:p w:rsidR="00B16CB9" w:rsidRDefault="00B16CB9" w:rsidP="00B16CB9">
      <w:pPr>
        <w:tabs>
          <w:tab w:val="left" w:pos="7965"/>
        </w:tabs>
        <w:spacing w:after="0"/>
        <w:rPr>
          <w:rFonts w:ascii="Verdana" w:hAnsi="Verdana" w:cs="Arial"/>
          <w:sz w:val="20"/>
          <w:szCs w:val="20"/>
        </w:rPr>
      </w:pPr>
      <w:r>
        <w:rPr>
          <w:rFonts w:ascii="Verdana" w:hAnsi="Verdana" w:cs="Arial"/>
          <w:sz w:val="20"/>
          <w:szCs w:val="20"/>
        </w:rPr>
        <w:t xml:space="preserve">          </w:t>
      </w:r>
      <w:r w:rsidR="006D0FFB" w:rsidRPr="006D0FFB">
        <w:rPr>
          <w:rFonts w:ascii="Verdana" w:hAnsi="Verdana" w:cs="Arial"/>
          <w:sz w:val="20"/>
          <w:szCs w:val="20"/>
        </w:rPr>
        <w:t xml:space="preserve">force used would need to be in proportion to the consequences it is intended to </w:t>
      </w:r>
      <w:r>
        <w:rPr>
          <w:rFonts w:ascii="Verdana" w:hAnsi="Verdana" w:cs="Arial"/>
          <w:sz w:val="20"/>
          <w:szCs w:val="20"/>
        </w:rPr>
        <w:t xml:space="preserve">  </w:t>
      </w:r>
    </w:p>
    <w:p w:rsidR="00B16CB9" w:rsidRDefault="00B16CB9" w:rsidP="00B16CB9">
      <w:pPr>
        <w:tabs>
          <w:tab w:val="left" w:pos="7965"/>
        </w:tabs>
        <w:spacing w:after="0"/>
        <w:rPr>
          <w:rFonts w:ascii="Verdana" w:hAnsi="Verdana" w:cs="Arial"/>
          <w:sz w:val="20"/>
          <w:szCs w:val="20"/>
        </w:rPr>
      </w:pPr>
      <w:r>
        <w:rPr>
          <w:rFonts w:ascii="Verdana" w:hAnsi="Verdana" w:cs="Arial"/>
          <w:sz w:val="20"/>
          <w:szCs w:val="20"/>
        </w:rPr>
        <w:t xml:space="preserve">          </w:t>
      </w:r>
      <w:r w:rsidR="006D0FFB" w:rsidRPr="006D0FFB">
        <w:rPr>
          <w:rFonts w:ascii="Verdana" w:hAnsi="Verdana" w:cs="Arial"/>
          <w:sz w:val="20"/>
          <w:szCs w:val="20"/>
        </w:rPr>
        <w:t xml:space="preserve">prevent. The degree of force used should be the minimum needed to achieve the </w:t>
      </w:r>
    </w:p>
    <w:p w:rsidR="00B16CB9" w:rsidRDefault="00B16CB9" w:rsidP="00B16CB9">
      <w:pPr>
        <w:tabs>
          <w:tab w:val="left" w:pos="7965"/>
        </w:tabs>
        <w:spacing w:after="0"/>
        <w:rPr>
          <w:rFonts w:ascii="Verdana" w:hAnsi="Verdana" w:cs="Arial"/>
          <w:sz w:val="20"/>
          <w:szCs w:val="20"/>
        </w:rPr>
      </w:pPr>
      <w:r>
        <w:rPr>
          <w:rFonts w:ascii="Verdana" w:hAnsi="Verdana" w:cs="Arial"/>
          <w:sz w:val="20"/>
          <w:szCs w:val="20"/>
        </w:rPr>
        <w:t xml:space="preserve">          </w:t>
      </w:r>
      <w:r w:rsidR="006D0FFB" w:rsidRPr="006D0FFB">
        <w:rPr>
          <w:rFonts w:ascii="Verdana" w:hAnsi="Verdana" w:cs="Arial"/>
          <w:sz w:val="20"/>
          <w:szCs w:val="20"/>
        </w:rPr>
        <w:t xml:space="preserve">desired outcome. Use of force could not be justified to prevent trivial </w:t>
      </w:r>
    </w:p>
    <w:p w:rsidR="00B16CB9" w:rsidRDefault="00B16CB9" w:rsidP="00B16CB9">
      <w:pPr>
        <w:tabs>
          <w:tab w:val="left" w:pos="7965"/>
        </w:tabs>
        <w:spacing w:after="0"/>
        <w:rPr>
          <w:rFonts w:ascii="Verdana" w:hAnsi="Verdana" w:cs="Arial"/>
          <w:sz w:val="20"/>
          <w:szCs w:val="20"/>
        </w:rPr>
      </w:pPr>
      <w:r>
        <w:rPr>
          <w:rFonts w:ascii="Verdana" w:hAnsi="Verdana" w:cs="Arial"/>
          <w:sz w:val="20"/>
          <w:szCs w:val="20"/>
        </w:rPr>
        <w:t xml:space="preserve">          </w:t>
      </w:r>
      <w:r w:rsidR="006D0FFB" w:rsidRPr="006D0FFB">
        <w:rPr>
          <w:rFonts w:ascii="Verdana" w:hAnsi="Verdana" w:cs="Arial"/>
          <w:sz w:val="20"/>
          <w:szCs w:val="20"/>
        </w:rPr>
        <w:t xml:space="preserve">misbehaviour. However, deciding whether misbehaviour is trivial will also depend </w:t>
      </w:r>
    </w:p>
    <w:p w:rsidR="006D0FFB" w:rsidRDefault="00B16CB9" w:rsidP="00B16CB9">
      <w:pPr>
        <w:tabs>
          <w:tab w:val="left" w:pos="7965"/>
        </w:tabs>
        <w:spacing w:after="0"/>
        <w:rPr>
          <w:rFonts w:ascii="Verdana" w:hAnsi="Verdana" w:cs="Arial"/>
          <w:sz w:val="20"/>
          <w:szCs w:val="20"/>
        </w:rPr>
      </w:pPr>
      <w:r>
        <w:rPr>
          <w:rFonts w:ascii="Verdana" w:hAnsi="Verdana" w:cs="Arial"/>
          <w:sz w:val="20"/>
          <w:szCs w:val="20"/>
        </w:rPr>
        <w:t xml:space="preserve">          </w:t>
      </w:r>
      <w:r w:rsidR="006D0FFB" w:rsidRPr="006D0FFB">
        <w:rPr>
          <w:rFonts w:ascii="Verdana" w:hAnsi="Verdana" w:cs="Arial"/>
          <w:sz w:val="20"/>
          <w:szCs w:val="20"/>
        </w:rPr>
        <w:t>on circumstances.</w:t>
      </w:r>
    </w:p>
    <w:p w:rsidR="00B16CB9" w:rsidRPr="006D0FFB" w:rsidRDefault="00B16CB9" w:rsidP="00B16CB9">
      <w:pPr>
        <w:tabs>
          <w:tab w:val="left" w:pos="7965"/>
        </w:tabs>
        <w:spacing w:after="0"/>
        <w:rPr>
          <w:rFonts w:ascii="Verdana" w:hAnsi="Verdana" w:cs="Arial"/>
          <w:sz w:val="20"/>
          <w:szCs w:val="20"/>
        </w:rPr>
      </w:pPr>
    </w:p>
    <w:p w:rsidR="006D0FFB" w:rsidRPr="006D0FFB" w:rsidRDefault="006D0FFB" w:rsidP="006D0FFB">
      <w:pPr>
        <w:jc w:val="both"/>
        <w:rPr>
          <w:rFonts w:ascii="Verdana" w:hAnsi="Verdana" w:cs="Arial"/>
          <w:b/>
          <w:sz w:val="20"/>
          <w:szCs w:val="20"/>
        </w:rPr>
      </w:pPr>
      <w:r w:rsidRPr="006D0FFB">
        <w:rPr>
          <w:rFonts w:ascii="Verdana" w:hAnsi="Verdana" w:cs="Arial"/>
          <w:b/>
          <w:sz w:val="20"/>
          <w:szCs w:val="20"/>
        </w:rPr>
        <w:t>7</w:t>
      </w:r>
      <w:r w:rsidRPr="006D0FFB">
        <w:rPr>
          <w:rFonts w:ascii="Verdana" w:hAnsi="Verdana" w:cs="Arial"/>
          <w:b/>
          <w:sz w:val="20"/>
          <w:szCs w:val="20"/>
        </w:rPr>
        <w:tab/>
        <w:t>Aftercare and support</w:t>
      </w:r>
    </w:p>
    <w:p w:rsidR="006D0FFB" w:rsidRPr="006D0FFB" w:rsidRDefault="006D0FFB" w:rsidP="006D0FFB">
      <w:pPr>
        <w:ind w:left="720" w:hanging="720"/>
        <w:jc w:val="both"/>
        <w:rPr>
          <w:rFonts w:ascii="Verdana" w:hAnsi="Verdana" w:cs="Arial"/>
          <w:sz w:val="20"/>
          <w:szCs w:val="20"/>
        </w:rPr>
      </w:pPr>
      <w:r w:rsidRPr="006D0FFB">
        <w:rPr>
          <w:rFonts w:ascii="Verdana" w:hAnsi="Verdana" w:cs="Arial"/>
          <w:sz w:val="20"/>
          <w:szCs w:val="20"/>
        </w:rPr>
        <w:t>7.1</w:t>
      </w:r>
      <w:r w:rsidRPr="006D0FFB">
        <w:rPr>
          <w:rFonts w:ascii="Verdana" w:hAnsi="Verdana" w:cs="Arial"/>
          <w:sz w:val="20"/>
          <w:szCs w:val="20"/>
        </w:rPr>
        <w:tab/>
      </w:r>
      <w:r>
        <w:rPr>
          <w:rFonts w:ascii="Verdana" w:hAnsi="Verdana" w:cs="Arial"/>
          <w:sz w:val="20"/>
          <w:szCs w:val="20"/>
        </w:rPr>
        <w:t>Highcliffe School</w:t>
      </w:r>
      <w:r w:rsidRPr="006D0FFB">
        <w:rPr>
          <w:rFonts w:ascii="Verdana" w:hAnsi="Verdana" w:cs="Arial"/>
          <w:sz w:val="20"/>
          <w:szCs w:val="20"/>
        </w:rPr>
        <w:t xml:space="preserve"> is committed to providing full support, including aftercare, to employees who have suffered violence in the course of their duties. Support will include:</w:t>
      </w:r>
    </w:p>
    <w:p w:rsidR="006D0FFB" w:rsidRPr="006D0FFB" w:rsidRDefault="006D0FFB" w:rsidP="006D0FFB">
      <w:pPr>
        <w:numPr>
          <w:ilvl w:val="0"/>
          <w:numId w:val="20"/>
        </w:numPr>
        <w:spacing w:after="0" w:line="240" w:lineRule="auto"/>
        <w:jc w:val="both"/>
        <w:rPr>
          <w:rFonts w:ascii="Verdana" w:hAnsi="Verdana" w:cs="Arial"/>
          <w:sz w:val="20"/>
          <w:szCs w:val="20"/>
        </w:rPr>
      </w:pPr>
      <w:r w:rsidRPr="006D0FFB">
        <w:rPr>
          <w:rFonts w:ascii="Verdana" w:hAnsi="Verdana" w:cs="Arial"/>
          <w:sz w:val="20"/>
          <w:szCs w:val="20"/>
        </w:rPr>
        <w:t>Line management support/debrief to ensure the incident is discussed, recorded appropriately and consideration is given to further action.</w:t>
      </w:r>
    </w:p>
    <w:p w:rsidR="006D0FFB" w:rsidRPr="006D0FFB" w:rsidRDefault="006D0FFB" w:rsidP="00B16CB9">
      <w:pPr>
        <w:spacing w:after="0"/>
        <w:ind w:left="360"/>
        <w:jc w:val="both"/>
        <w:rPr>
          <w:rFonts w:ascii="Verdana" w:hAnsi="Verdana" w:cs="Arial"/>
          <w:sz w:val="20"/>
          <w:szCs w:val="20"/>
        </w:rPr>
      </w:pPr>
    </w:p>
    <w:p w:rsidR="006D0FFB" w:rsidRPr="006D0FFB" w:rsidRDefault="006D0FFB" w:rsidP="006D0FFB">
      <w:pPr>
        <w:numPr>
          <w:ilvl w:val="0"/>
          <w:numId w:val="20"/>
        </w:numPr>
        <w:spacing w:after="0" w:line="240" w:lineRule="auto"/>
        <w:jc w:val="both"/>
        <w:rPr>
          <w:rFonts w:ascii="Verdana" w:hAnsi="Verdana" w:cs="Arial"/>
          <w:sz w:val="20"/>
          <w:szCs w:val="20"/>
        </w:rPr>
      </w:pPr>
      <w:r w:rsidRPr="006D0FFB">
        <w:rPr>
          <w:rFonts w:ascii="Verdana" w:hAnsi="Verdana" w:cs="Arial"/>
          <w:sz w:val="20"/>
          <w:szCs w:val="20"/>
        </w:rPr>
        <w:t>Access to the County Coun</w:t>
      </w:r>
      <w:r>
        <w:rPr>
          <w:rFonts w:ascii="Verdana" w:hAnsi="Verdana" w:cs="Arial"/>
          <w:sz w:val="20"/>
          <w:szCs w:val="20"/>
        </w:rPr>
        <w:t>cil’s Staff Counsellor (</w:t>
      </w:r>
      <w:r w:rsidRPr="006D0FFB">
        <w:rPr>
          <w:rFonts w:ascii="Verdana" w:hAnsi="Verdana" w:cs="Arial"/>
          <w:sz w:val="20"/>
          <w:szCs w:val="20"/>
        </w:rPr>
        <w:t xml:space="preserve">purchased by </w:t>
      </w:r>
      <w:r>
        <w:rPr>
          <w:rFonts w:ascii="Verdana" w:hAnsi="Verdana" w:cs="Arial"/>
          <w:sz w:val="20"/>
          <w:szCs w:val="20"/>
        </w:rPr>
        <w:t>Highcliffe School</w:t>
      </w:r>
      <w:r w:rsidRPr="006D0FFB">
        <w:rPr>
          <w:rFonts w:ascii="Verdana" w:hAnsi="Verdana" w:cs="Arial"/>
          <w:sz w:val="20"/>
          <w:szCs w:val="20"/>
        </w:rPr>
        <w:t>), for those employees who feel they may benefit from this service. The Staff Counsellor may wish to discuss with the employee the need and mechanism for specialist post incident support.</w:t>
      </w:r>
    </w:p>
    <w:p w:rsidR="006D0FFB" w:rsidRPr="006D0FFB" w:rsidRDefault="006D0FFB" w:rsidP="006D0FFB">
      <w:pPr>
        <w:jc w:val="both"/>
        <w:rPr>
          <w:rFonts w:ascii="Verdana" w:hAnsi="Verdana" w:cs="Arial"/>
          <w:sz w:val="20"/>
          <w:szCs w:val="20"/>
        </w:rPr>
      </w:pPr>
    </w:p>
    <w:p w:rsidR="006D0FFB" w:rsidRPr="006D0FFB" w:rsidRDefault="006D0FFB" w:rsidP="006D0FFB">
      <w:pPr>
        <w:numPr>
          <w:ilvl w:val="0"/>
          <w:numId w:val="20"/>
        </w:numPr>
        <w:spacing w:after="0" w:line="240" w:lineRule="auto"/>
        <w:jc w:val="both"/>
        <w:rPr>
          <w:rFonts w:ascii="Verdana" w:hAnsi="Verdana" w:cs="Arial"/>
          <w:sz w:val="20"/>
          <w:szCs w:val="20"/>
        </w:rPr>
      </w:pPr>
      <w:r w:rsidRPr="006D0FFB">
        <w:rPr>
          <w:rFonts w:ascii="Verdana" w:hAnsi="Verdana" w:cs="Arial"/>
          <w:sz w:val="20"/>
          <w:szCs w:val="20"/>
        </w:rPr>
        <w:lastRenderedPageBreak/>
        <w:t>Where appropriate, access to Trades Union Welfare Officers.</w:t>
      </w:r>
    </w:p>
    <w:p w:rsidR="006D0FFB" w:rsidRPr="006D0FFB" w:rsidRDefault="006D0FFB" w:rsidP="00B16CB9">
      <w:pPr>
        <w:spacing w:after="0"/>
        <w:jc w:val="both"/>
        <w:rPr>
          <w:rFonts w:ascii="Verdana" w:hAnsi="Verdana" w:cs="Arial"/>
          <w:sz w:val="20"/>
          <w:szCs w:val="20"/>
        </w:rPr>
      </w:pPr>
    </w:p>
    <w:p w:rsidR="006D0FFB" w:rsidRPr="006D0FFB" w:rsidRDefault="006D0FFB" w:rsidP="006D0FFB">
      <w:pPr>
        <w:ind w:left="720" w:hanging="720"/>
        <w:jc w:val="both"/>
        <w:rPr>
          <w:rFonts w:ascii="Verdana" w:hAnsi="Verdana" w:cs="Arial"/>
          <w:sz w:val="20"/>
          <w:szCs w:val="20"/>
        </w:rPr>
      </w:pPr>
      <w:r w:rsidRPr="006D0FFB">
        <w:rPr>
          <w:rFonts w:ascii="Verdana" w:hAnsi="Verdana" w:cs="Arial"/>
          <w:sz w:val="20"/>
          <w:szCs w:val="20"/>
        </w:rPr>
        <w:t>7.2</w:t>
      </w:r>
      <w:r w:rsidRPr="006D0FFB">
        <w:rPr>
          <w:rFonts w:ascii="Verdana" w:hAnsi="Verdana" w:cs="Arial"/>
          <w:sz w:val="20"/>
          <w:szCs w:val="20"/>
        </w:rPr>
        <w:tab/>
        <w:t>Immediately after reporting a violent incident, the individual who has been attacked should be offered local support to ensure their needs are met. This should include consideration as to whether it is appropriate for the employee to remain at work following the incident. Debriefing should take place as soon as possible after the event to minimise the risk of longer-term trauma and harm. The purpose of the debriefing session is to enable the individual to talk about his/her feelings of distress. It is normal for people to feel vulnerable, helpless or powerless to react, and there may be feelings of guilt, anger and fear of another attack. These feelings may not manifest themselves immediately and may take time to come to terms with. Individuals should be encouraged to talk openly about their experiences; what happened, how they responded and how they felt.</w:t>
      </w:r>
    </w:p>
    <w:p w:rsidR="006D0FFB" w:rsidRPr="006D0FFB" w:rsidRDefault="006D0FFB" w:rsidP="006D0FFB">
      <w:pPr>
        <w:ind w:left="720" w:hanging="720"/>
        <w:jc w:val="both"/>
        <w:rPr>
          <w:rFonts w:ascii="Verdana" w:hAnsi="Verdana" w:cs="Arial"/>
          <w:sz w:val="20"/>
          <w:szCs w:val="20"/>
        </w:rPr>
      </w:pPr>
      <w:r w:rsidRPr="006D0FFB">
        <w:rPr>
          <w:rFonts w:ascii="Verdana" w:hAnsi="Verdana" w:cs="Arial"/>
          <w:sz w:val="20"/>
          <w:szCs w:val="20"/>
        </w:rPr>
        <w:t>7.3</w:t>
      </w:r>
      <w:r w:rsidRPr="006D0FFB">
        <w:rPr>
          <w:rFonts w:ascii="Verdana" w:hAnsi="Verdana" w:cs="Arial"/>
          <w:sz w:val="20"/>
          <w:szCs w:val="20"/>
        </w:rPr>
        <w:tab/>
        <w:t>Even the most sophisticated policies and procedures relating to violence and personal safety cannot guarantee that a violent incident will never occur. It is important therefore, that post incident support is available to anyone subjected to violence in the course of their work. Such services ensure that support, practical help and access to sources of specialist help are provided subject to availability.</w:t>
      </w:r>
    </w:p>
    <w:p w:rsidR="006D0FFB" w:rsidRPr="006D0FFB" w:rsidRDefault="006D0FFB" w:rsidP="006D0FFB">
      <w:pPr>
        <w:ind w:left="720" w:hanging="720"/>
        <w:jc w:val="both"/>
        <w:rPr>
          <w:rFonts w:ascii="Verdana" w:hAnsi="Verdana" w:cs="Arial"/>
          <w:sz w:val="20"/>
          <w:szCs w:val="20"/>
        </w:rPr>
      </w:pPr>
      <w:r w:rsidRPr="006D0FFB">
        <w:rPr>
          <w:rFonts w:ascii="Verdana" w:hAnsi="Verdana" w:cs="Arial"/>
          <w:sz w:val="20"/>
          <w:szCs w:val="20"/>
        </w:rPr>
        <w:t>7.4</w:t>
      </w:r>
      <w:r w:rsidRPr="006D0FFB">
        <w:rPr>
          <w:rFonts w:ascii="Verdana" w:hAnsi="Verdana" w:cs="Arial"/>
          <w:sz w:val="20"/>
          <w:szCs w:val="20"/>
        </w:rPr>
        <w:tab/>
        <w:t>The following policies, which are available from the school office, also provide advice and guidance when dealing with incidents of violence at work:</w:t>
      </w:r>
    </w:p>
    <w:p w:rsidR="006D0FFB" w:rsidRPr="006D0FFB" w:rsidRDefault="006D0FFB" w:rsidP="006D0FFB">
      <w:pPr>
        <w:numPr>
          <w:ilvl w:val="0"/>
          <w:numId w:val="21"/>
        </w:numPr>
        <w:spacing w:after="0" w:line="240" w:lineRule="auto"/>
        <w:jc w:val="both"/>
        <w:rPr>
          <w:rFonts w:ascii="Verdana" w:hAnsi="Verdana" w:cs="Arial"/>
          <w:sz w:val="20"/>
          <w:szCs w:val="20"/>
        </w:rPr>
      </w:pPr>
      <w:r>
        <w:rPr>
          <w:rFonts w:ascii="Verdana" w:hAnsi="Verdana" w:cs="Arial"/>
          <w:sz w:val="20"/>
          <w:szCs w:val="20"/>
        </w:rPr>
        <w:t>Student</w:t>
      </w:r>
      <w:r w:rsidRPr="006D0FFB">
        <w:rPr>
          <w:rFonts w:ascii="Verdana" w:hAnsi="Verdana" w:cs="Arial"/>
          <w:sz w:val="20"/>
          <w:szCs w:val="20"/>
        </w:rPr>
        <w:t xml:space="preserve"> Behaviour policy</w:t>
      </w:r>
    </w:p>
    <w:p w:rsidR="006D0FFB" w:rsidRPr="006D0FFB" w:rsidRDefault="006D0FFB" w:rsidP="006D0FFB">
      <w:pPr>
        <w:numPr>
          <w:ilvl w:val="0"/>
          <w:numId w:val="21"/>
        </w:numPr>
        <w:spacing w:after="0" w:line="240" w:lineRule="auto"/>
        <w:jc w:val="both"/>
        <w:rPr>
          <w:rFonts w:ascii="Verdana" w:hAnsi="Verdana" w:cs="Arial"/>
          <w:sz w:val="20"/>
          <w:szCs w:val="20"/>
        </w:rPr>
      </w:pPr>
      <w:r w:rsidRPr="006D0FFB">
        <w:rPr>
          <w:rFonts w:ascii="Verdana" w:hAnsi="Verdana" w:cs="Arial"/>
          <w:sz w:val="20"/>
          <w:szCs w:val="20"/>
        </w:rPr>
        <w:t>Exclusion policy (if separate from above)</w:t>
      </w:r>
    </w:p>
    <w:p w:rsidR="006D0FFB" w:rsidRPr="006D0FFB" w:rsidRDefault="006D0FFB" w:rsidP="006D0FFB">
      <w:pPr>
        <w:numPr>
          <w:ilvl w:val="0"/>
          <w:numId w:val="21"/>
        </w:numPr>
        <w:spacing w:after="0" w:line="240" w:lineRule="auto"/>
        <w:jc w:val="both"/>
        <w:rPr>
          <w:rFonts w:ascii="Verdana" w:hAnsi="Verdana" w:cs="Arial"/>
          <w:sz w:val="20"/>
          <w:szCs w:val="20"/>
        </w:rPr>
      </w:pPr>
      <w:r w:rsidRPr="006D0FFB">
        <w:rPr>
          <w:rFonts w:ascii="Verdana" w:hAnsi="Verdana" w:cs="Arial"/>
          <w:sz w:val="20"/>
          <w:szCs w:val="20"/>
        </w:rPr>
        <w:t>SEN policy</w:t>
      </w:r>
    </w:p>
    <w:p w:rsidR="006D0FFB" w:rsidRPr="006D0FFB" w:rsidRDefault="006D0FFB" w:rsidP="006D0FFB">
      <w:pPr>
        <w:ind w:left="720" w:hanging="720"/>
        <w:jc w:val="both"/>
        <w:rPr>
          <w:rFonts w:ascii="Verdana" w:hAnsi="Verdana" w:cs="Arial"/>
          <w:sz w:val="20"/>
          <w:szCs w:val="20"/>
        </w:rPr>
      </w:pPr>
    </w:p>
    <w:p w:rsidR="006D0FFB" w:rsidRPr="006D0FFB" w:rsidRDefault="006D0FFB" w:rsidP="006D0FFB">
      <w:pPr>
        <w:ind w:left="720" w:hanging="720"/>
        <w:jc w:val="both"/>
        <w:rPr>
          <w:rFonts w:ascii="Verdana" w:hAnsi="Verdana" w:cs="Arial"/>
          <w:b/>
          <w:sz w:val="20"/>
          <w:szCs w:val="20"/>
        </w:rPr>
      </w:pPr>
      <w:r w:rsidRPr="006D0FFB">
        <w:rPr>
          <w:rFonts w:ascii="Verdana" w:hAnsi="Verdana" w:cs="Arial"/>
          <w:b/>
          <w:sz w:val="20"/>
          <w:szCs w:val="20"/>
        </w:rPr>
        <w:t>8</w:t>
      </w:r>
      <w:r w:rsidRPr="006D0FFB">
        <w:rPr>
          <w:rFonts w:ascii="Verdana" w:hAnsi="Verdana" w:cs="Arial"/>
          <w:b/>
          <w:sz w:val="20"/>
          <w:szCs w:val="20"/>
        </w:rPr>
        <w:tab/>
        <w:t>Review</w:t>
      </w:r>
    </w:p>
    <w:p w:rsidR="006D0FFB" w:rsidRPr="006D0FFB" w:rsidRDefault="006D0FFB" w:rsidP="006D0FFB">
      <w:pPr>
        <w:ind w:left="720" w:hanging="720"/>
        <w:jc w:val="both"/>
        <w:rPr>
          <w:rFonts w:ascii="Verdana" w:hAnsi="Verdana" w:cs="Arial"/>
          <w:sz w:val="20"/>
          <w:szCs w:val="20"/>
        </w:rPr>
      </w:pPr>
      <w:r w:rsidRPr="006D0FFB">
        <w:rPr>
          <w:rFonts w:ascii="Verdana" w:hAnsi="Verdana" w:cs="Arial"/>
          <w:sz w:val="20"/>
          <w:szCs w:val="20"/>
        </w:rPr>
        <w:t>8.1</w:t>
      </w:r>
      <w:r w:rsidRPr="006D0FFB">
        <w:rPr>
          <w:rFonts w:ascii="Verdana" w:hAnsi="Verdana" w:cs="Arial"/>
          <w:sz w:val="20"/>
          <w:szCs w:val="20"/>
        </w:rPr>
        <w:tab/>
        <w:t>This policy will be reviewed periodically by the Local Authority and amendments recommended to the Governing Body for adoption as appropriate.</w:t>
      </w:r>
    </w:p>
    <w:p w:rsidR="006D0FFB" w:rsidRPr="006D0FFB" w:rsidRDefault="006D0FFB" w:rsidP="006D0FFB">
      <w:pPr>
        <w:ind w:left="720" w:hanging="720"/>
        <w:jc w:val="both"/>
        <w:rPr>
          <w:rFonts w:ascii="Verdana" w:hAnsi="Verdana" w:cs="Arial"/>
          <w:sz w:val="20"/>
          <w:szCs w:val="20"/>
        </w:rPr>
      </w:pPr>
    </w:p>
    <w:p w:rsidR="006D0FFB" w:rsidRDefault="006D0FFB" w:rsidP="006D0FFB">
      <w:pPr>
        <w:jc w:val="both"/>
        <w:rPr>
          <w:rFonts w:ascii="Verdana" w:hAnsi="Verdana" w:cs="Arial"/>
          <w:sz w:val="20"/>
          <w:szCs w:val="20"/>
        </w:rPr>
      </w:pPr>
    </w:p>
    <w:p w:rsidR="008F7AAE" w:rsidRDefault="008F7AAE" w:rsidP="006D0FFB">
      <w:pPr>
        <w:jc w:val="both"/>
        <w:rPr>
          <w:rFonts w:ascii="Verdana" w:hAnsi="Verdana" w:cs="Arial"/>
          <w:sz w:val="20"/>
          <w:szCs w:val="20"/>
        </w:rPr>
      </w:pPr>
    </w:p>
    <w:p w:rsidR="008F7AAE" w:rsidRDefault="008F7AAE" w:rsidP="006D0FFB">
      <w:pPr>
        <w:jc w:val="both"/>
        <w:rPr>
          <w:rFonts w:ascii="Verdana" w:hAnsi="Verdana" w:cs="Arial"/>
          <w:sz w:val="20"/>
          <w:szCs w:val="20"/>
        </w:rPr>
      </w:pPr>
    </w:p>
    <w:p w:rsidR="008F7AAE" w:rsidRDefault="008F7AAE" w:rsidP="006D0FFB">
      <w:pPr>
        <w:jc w:val="both"/>
        <w:rPr>
          <w:rFonts w:ascii="Verdana" w:hAnsi="Verdana" w:cs="Arial"/>
          <w:sz w:val="20"/>
          <w:szCs w:val="20"/>
        </w:rPr>
      </w:pPr>
    </w:p>
    <w:p w:rsidR="008F7AAE" w:rsidRPr="006D0FFB" w:rsidRDefault="008F7AAE" w:rsidP="006D0FFB">
      <w:pPr>
        <w:jc w:val="both"/>
        <w:rPr>
          <w:rFonts w:ascii="Verdana" w:hAnsi="Verdana" w:cs="Arial"/>
          <w:sz w:val="20"/>
          <w:szCs w:val="20"/>
        </w:rPr>
      </w:pPr>
    </w:p>
    <w:p w:rsidR="006D0FFB" w:rsidRPr="006D0FFB" w:rsidRDefault="006D0FFB" w:rsidP="006D0FFB">
      <w:pPr>
        <w:jc w:val="both"/>
        <w:rPr>
          <w:rFonts w:ascii="Verdana" w:hAnsi="Verdana" w:cs="Arial"/>
          <w:sz w:val="20"/>
          <w:szCs w:val="20"/>
        </w:rPr>
      </w:pPr>
    </w:p>
    <w:p w:rsidR="00171852" w:rsidRDefault="00171852" w:rsidP="00171852">
      <w:pPr>
        <w:autoSpaceDE w:val="0"/>
        <w:autoSpaceDN w:val="0"/>
        <w:adjustRightInd w:val="0"/>
        <w:spacing w:after="0" w:line="240" w:lineRule="auto"/>
        <w:rPr>
          <w:rFonts w:ascii="Verdana" w:hAnsi="Verdana" w:cs="Verdana"/>
          <w:i/>
          <w:iCs/>
          <w:sz w:val="18"/>
          <w:szCs w:val="18"/>
        </w:rPr>
      </w:pPr>
      <w:r>
        <w:rPr>
          <w:rFonts w:ascii="Verdana" w:hAnsi="Verdana" w:cs="Verdana"/>
          <w:i/>
          <w:iCs/>
          <w:sz w:val="18"/>
          <w:szCs w:val="18"/>
        </w:rPr>
        <w:t>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Headteacher so that the matter can be addressed.</w:t>
      </w:r>
    </w:p>
    <w:p w:rsidR="00171852" w:rsidRDefault="00171852" w:rsidP="00FD7196"/>
    <w:sectPr w:rsidR="00171852" w:rsidSect="00B16CB9">
      <w:headerReference w:type="default" r:id="rId8"/>
      <w:footerReference w:type="default" r:id="rId9"/>
      <w:pgSz w:w="11906" w:h="16838"/>
      <w:pgMar w:top="11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75" w:rsidRDefault="00F47075" w:rsidP="00C47194">
      <w:pPr>
        <w:spacing w:after="0" w:line="240" w:lineRule="auto"/>
      </w:pPr>
      <w:r>
        <w:separator/>
      </w:r>
    </w:p>
  </w:endnote>
  <w:endnote w:type="continuationSeparator" w:id="0">
    <w:p w:rsidR="00F47075" w:rsidRDefault="00F47075" w:rsidP="00C4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94" w:rsidRDefault="00C47194" w:rsidP="00C47194">
    <w:pPr>
      <w:pStyle w:val="Footer"/>
    </w:pPr>
    <w:r>
      <w:t xml:space="preserve">Highcliffe School: </w:t>
    </w:r>
    <w:r w:rsidR="00370EBF">
      <w:t>Violence at Work</w:t>
    </w:r>
    <w:r>
      <w:t xml:space="preserve"> Policy Oct 2013</w:t>
    </w:r>
    <w:r>
      <w:tab/>
      <w:t xml:space="preserve"> </w:t>
    </w:r>
    <w:r>
      <w:tab/>
      <w:t>MDS</w:t>
    </w:r>
  </w:p>
  <w:p w:rsidR="00C47194" w:rsidRDefault="00C47194" w:rsidP="00C47194">
    <w:pPr>
      <w:pStyle w:val="Footer"/>
    </w:pPr>
    <w:r>
      <w:fldChar w:fldCharType="begin"/>
    </w:r>
    <w:r>
      <w:instrText xml:space="preserve"> PAGE   \* MERGEFORMAT </w:instrText>
    </w:r>
    <w:r>
      <w:fldChar w:fldCharType="separate"/>
    </w:r>
    <w:r w:rsidR="00482588">
      <w:rPr>
        <w:noProof/>
      </w:rPr>
      <w:t>3</w:t>
    </w:r>
    <w:r>
      <w:rPr>
        <w:noProof/>
      </w:rPr>
      <w:fldChar w:fldCharType="end"/>
    </w:r>
    <w:r>
      <w:t xml:space="preserve"> of </w:t>
    </w:r>
    <w:r w:rsidR="00482588">
      <w:fldChar w:fldCharType="begin"/>
    </w:r>
    <w:r w:rsidR="00482588">
      <w:instrText xml:space="preserve"> NUMPAGES  \* Arabic  \* MERGEFORMAT </w:instrText>
    </w:r>
    <w:r w:rsidR="00482588">
      <w:fldChar w:fldCharType="separate"/>
    </w:r>
    <w:r w:rsidR="00482588">
      <w:rPr>
        <w:noProof/>
      </w:rPr>
      <w:t>4</w:t>
    </w:r>
    <w:r w:rsidR="00482588">
      <w:rPr>
        <w:noProof/>
      </w:rPr>
      <w:fldChar w:fldCharType="end"/>
    </w:r>
  </w:p>
  <w:p w:rsidR="00C47194" w:rsidRDefault="00C47194" w:rsidP="00C47194">
    <w:pPr>
      <w:pStyle w:val="Footer"/>
    </w:pPr>
  </w:p>
  <w:p w:rsidR="00C47194" w:rsidRDefault="00C47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75" w:rsidRDefault="00F47075" w:rsidP="00C47194">
      <w:pPr>
        <w:spacing w:after="0" w:line="240" w:lineRule="auto"/>
      </w:pPr>
      <w:r>
        <w:separator/>
      </w:r>
    </w:p>
  </w:footnote>
  <w:footnote w:type="continuationSeparator" w:id="0">
    <w:p w:rsidR="00F47075" w:rsidRDefault="00F47075" w:rsidP="00C47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94" w:rsidRPr="001741BB" w:rsidRDefault="00C47194" w:rsidP="00C47194">
    <w:pPr>
      <w:pStyle w:val="Header"/>
      <w:rPr>
        <w:b/>
        <w:sz w:val="28"/>
        <w:szCs w:val="28"/>
      </w:rPr>
    </w:pPr>
    <w:r>
      <w:rPr>
        <w:b/>
        <w:noProof/>
        <w:sz w:val="28"/>
        <w:szCs w:val="28"/>
        <w:lang w:eastAsia="en-GB"/>
      </w:rPr>
      <w:drawing>
        <wp:anchor distT="0" distB="0" distL="114300" distR="114300" simplePos="0" relativeHeight="251659264" behindDoc="1" locked="0" layoutInCell="1" allowOverlap="1" wp14:anchorId="5AC9144D" wp14:editId="6F1CBBE4">
          <wp:simplePos x="0" y="0"/>
          <wp:positionH relativeFrom="column">
            <wp:posOffset>-577215</wp:posOffset>
          </wp:positionH>
          <wp:positionV relativeFrom="paragraph">
            <wp:posOffset>-271780</wp:posOffset>
          </wp:positionV>
          <wp:extent cx="577850" cy="519430"/>
          <wp:effectExtent l="19050" t="0" r="0" b="0"/>
          <wp:wrapNone/>
          <wp:docPr id="1" name="Picture 7" descr="C:\Documents and Settings\lcoleman\Desktop\Mai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coleman\Desktop\Main school logo.jpg"/>
                  <pic:cNvPicPr>
                    <a:picLocks noChangeAspect="1" noChangeArrowheads="1"/>
                  </pic:cNvPicPr>
                </pic:nvPicPr>
                <pic:blipFill>
                  <a:blip r:embed="rId1"/>
                  <a:srcRect/>
                  <a:stretch>
                    <a:fillRect/>
                  </a:stretch>
                </pic:blipFill>
                <pic:spPr bwMode="auto">
                  <a:xfrm>
                    <a:off x="0" y="0"/>
                    <a:ext cx="577850" cy="519430"/>
                  </a:xfrm>
                  <a:prstGeom prst="rect">
                    <a:avLst/>
                  </a:prstGeom>
                  <a:noFill/>
                  <a:ln w="9525">
                    <a:noFill/>
                    <a:miter lim="800000"/>
                    <a:headEnd/>
                    <a:tailEnd/>
                  </a:ln>
                </pic:spPr>
              </pic:pic>
            </a:graphicData>
          </a:graphic>
        </wp:anchor>
      </w:drawing>
    </w:r>
    <w:r>
      <w:rPr>
        <w:b/>
        <w:sz w:val="28"/>
        <w:szCs w:val="28"/>
      </w:rPr>
      <w:t>H</w:t>
    </w:r>
    <w:r w:rsidRPr="001741BB">
      <w:rPr>
        <w:b/>
        <w:sz w:val="28"/>
        <w:szCs w:val="28"/>
      </w:rPr>
      <w:t>ighcliffe School</w:t>
    </w:r>
  </w:p>
  <w:p w:rsidR="00C47194" w:rsidRDefault="00C47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0B"/>
    <w:multiLevelType w:val="hybridMultilevel"/>
    <w:tmpl w:val="B60C8CB4"/>
    <w:lvl w:ilvl="0" w:tplc="BF5811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A1A6D"/>
    <w:multiLevelType w:val="hybridMultilevel"/>
    <w:tmpl w:val="164A9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D090E51"/>
    <w:multiLevelType w:val="hybridMultilevel"/>
    <w:tmpl w:val="FA1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01DFA"/>
    <w:multiLevelType w:val="hybridMultilevel"/>
    <w:tmpl w:val="6B5E65E0"/>
    <w:lvl w:ilvl="0" w:tplc="BF58114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5047CE"/>
    <w:multiLevelType w:val="hybridMultilevel"/>
    <w:tmpl w:val="BE26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D5E26"/>
    <w:multiLevelType w:val="hybridMultilevel"/>
    <w:tmpl w:val="5526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4120D"/>
    <w:multiLevelType w:val="hybridMultilevel"/>
    <w:tmpl w:val="620CD73E"/>
    <w:lvl w:ilvl="0" w:tplc="BF58114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1052F"/>
    <w:multiLevelType w:val="hybridMultilevel"/>
    <w:tmpl w:val="59CEC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F645D"/>
    <w:multiLevelType w:val="hybridMultilevel"/>
    <w:tmpl w:val="3E34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55471"/>
    <w:multiLevelType w:val="hybridMultilevel"/>
    <w:tmpl w:val="6D303660"/>
    <w:lvl w:ilvl="0" w:tplc="7AE03FF6">
      <w:start w:val="1"/>
      <w:numFmt w:val="decimal"/>
      <w:lvlText w:val="%1"/>
      <w:lvlJc w:val="left"/>
      <w:pPr>
        <w:tabs>
          <w:tab w:val="num" w:pos="1080"/>
        </w:tabs>
        <w:ind w:left="1080" w:hanging="720"/>
      </w:pPr>
    </w:lvl>
    <w:lvl w:ilvl="1" w:tplc="42F0585C">
      <w:numFmt w:val="none"/>
      <w:lvlText w:val=""/>
      <w:lvlJc w:val="left"/>
      <w:pPr>
        <w:tabs>
          <w:tab w:val="num" w:pos="360"/>
        </w:tabs>
        <w:ind w:left="0" w:firstLine="0"/>
      </w:pPr>
    </w:lvl>
    <w:lvl w:ilvl="2" w:tplc="4B4865C6">
      <w:numFmt w:val="none"/>
      <w:lvlText w:val=""/>
      <w:lvlJc w:val="left"/>
      <w:pPr>
        <w:tabs>
          <w:tab w:val="num" w:pos="360"/>
        </w:tabs>
        <w:ind w:left="0" w:firstLine="0"/>
      </w:pPr>
    </w:lvl>
    <w:lvl w:ilvl="3" w:tplc="CAB07AC0">
      <w:numFmt w:val="none"/>
      <w:lvlText w:val=""/>
      <w:lvlJc w:val="left"/>
      <w:pPr>
        <w:tabs>
          <w:tab w:val="num" w:pos="360"/>
        </w:tabs>
        <w:ind w:left="0" w:firstLine="0"/>
      </w:pPr>
    </w:lvl>
    <w:lvl w:ilvl="4" w:tplc="8BBE6ECA">
      <w:numFmt w:val="none"/>
      <w:lvlText w:val=""/>
      <w:lvlJc w:val="left"/>
      <w:pPr>
        <w:tabs>
          <w:tab w:val="num" w:pos="360"/>
        </w:tabs>
        <w:ind w:left="0" w:firstLine="0"/>
      </w:pPr>
    </w:lvl>
    <w:lvl w:ilvl="5" w:tplc="A70C149E">
      <w:numFmt w:val="none"/>
      <w:lvlText w:val=""/>
      <w:lvlJc w:val="left"/>
      <w:pPr>
        <w:tabs>
          <w:tab w:val="num" w:pos="360"/>
        </w:tabs>
        <w:ind w:left="0" w:firstLine="0"/>
      </w:pPr>
    </w:lvl>
    <w:lvl w:ilvl="6" w:tplc="4D5ACFC8">
      <w:numFmt w:val="none"/>
      <w:lvlText w:val=""/>
      <w:lvlJc w:val="left"/>
      <w:pPr>
        <w:tabs>
          <w:tab w:val="num" w:pos="360"/>
        </w:tabs>
        <w:ind w:left="0" w:firstLine="0"/>
      </w:pPr>
    </w:lvl>
    <w:lvl w:ilvl="7" w:tplc="E68C1A58">
      <w:numFmt w:val="none"/>
      <w:lvlText w:val=""/>
      <w:lvlJc w:val="left"/>
      <w:pPr>
        <w:tabs>
          <w:tab w:val="num" w:pos="360"/>
        </w:tabs>
        <w:ind w:left="0" w:firstLine="0"/>
      </w:pPr>
    </w:lvl>
    <w:lvl w:ilvl="8" w:tplc="202A3664">
      <w:numFmt w:val="none"/>
      <w:lvlText w:val=""/>
      <w:lvlJc w:val="left"/>
      <w:pPr>
        <w:tabs>
          <w:tab w:val="num" w:pos="360"/>
        </w:tabs>
        <w:ind w:left="0" w:firstLine="0"/>
      </w:pPr>
    </w:lvl>
  </w:abstractNum>
  <w:abstractNum w:abstractNumId="10" w15:restartNumberingAfterBreak="0">
    <w:nsid w:val="2D694E93"/>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350E0EDA"/>
    <w:multiLevelType w:val="hybridMultilevel"/>
    <w:tmpl w:val="3E12B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A47F73"/>
    <w:multiLevelType w:val="hybridMultilevel"/>
    <w:tmpl w:val="41220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A854FD"/>
    <w:multiLevelType w:val="hybridMultilevel"/>
    <w:tmpl w:val="86BC49EA"/>
    <w:lvl w:ilvl="0" w:tplc="BF58114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51143C"/>
    <w:multiLevelType w:val="multilevel"/>
    <w:tmpl w:val="DEF63FC8"/>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34C5FFF"/>
    <w:multiLevelType w:val="hybridMultilevel"/>
    <w:tmpl w:val="E5A463A0"/>
    <w:lvl w:ilvl="0" w:tplc="BF58114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D740E"/>
    <w:multiLevelType w:val="multilevel"/>
    <w:tmpl w:val="B25015BA"/>
    <w:lvl w:ilvl="0">
      <w:start w:val="3"/>
      <w:numFmt w:val="decimal"/>
      <w:lvlText w:val="%1"/>
      <w:lvlJc w:val="left"/>
      <w:pPr>
        <w:ind w:left="1069" w:hanging="360"/>
      </w:pPr>
      <w:rPr>
        <w:sz w:val="22"/>
      </w:rPr>
    </w:lvl>
    <w:lvl w:ilvl="1">
      <w:start w:val="1"/>
      <w:numFmt w:val="decimal"/>
      <w:lvlText w:val="%1.%2"/>
      <w:lvlJc w:val="left"/>
      <w:pPr>
        <w:ind w:left="900" w:hanging="360"/>
      </w:pPr>
      <w:rPr>
        <w:sz w:val="22"/>
      </w:rPr>
    </w:lvl>
    <w:lvl w:ilvl="2">
      <w:start w:val="1"/>
      <w:numFmt w:val="decimal"/>
      <w:lvlText w:val="%1.%2.%3"/>
      <w:lvlJc w:val="left"/>
      <w:pPr>
        <w:ind w:left="1069" w:hanging="360"/>
      </w:pPr>
      <w:rPr>
        <w:sz w:val="22"/>
      </w:rPr>
    </w:lvl>
    <w:lvl w:ilvl="3">
      <w:start w:val="1"/>
      <w:numFmt w:val="decimal"/>
      <w:lvlText w:val="%1.%2.%3.%4"/>
      <w:lvlJc w:val="left"/>
      <w:pPr>
        <w:ind w:left="1429" w:hanging="720"/>
      </w:pPr>
      <w:rPr>
        <w:sz w:val="22"/>
      </w:rPr>
    </w:lvl>
    <w:lvl w:ilvl="4">
      <w:start w:val="1"/>
      <w:numFmt w:val="decimal"/>
      <w:lvlText w:val="%1.%2.%3.%4.%5"/>
      <w:lvlJc w:val="left"/>
      <w:pPr>
        <w:ind w:left="1429" w:hanging="720"/>
      </w:pPr>
      <w:rPr>
        <w:sz w:val="22"/>
      </w:rPr>
    </w:lvl>
    <w:lvl w:ilvl="5">
      <w:start w:val="1"/>
      <w:numFmt w:val="decimal"/>
      <w:lvlText w:val="%1.%2.%3.%4.%5.%6"/>
      <w:lvlJc w:val="left"/>
      <w:pPr>
        <w:ind w:left="1789" w:hanging="1080"/>
      </w:pPr>
      <w:rPr>
        <w:sz w:val="22"/>
      </w:rPr>
    </w:lvl>
    <w:lvl w:ilvl="6">
      <w:start w:val="1"/>
      <w:numFmt w:val="decimal"/>
      <w:lvlText w:val="%1.%2.%3.%4.%5.%6.%7"/>
      <w:lvlJc w:val="left"/>
      <w:pPr>
        <w:ind w:left="1789" w:hanging="1080"/>
      </w:pPr>
      <w:rPr>
        <w:sz w:val="22"/>
      </w:rPr>
    </w:lvl>
    <w:lvl w:ilvl="7">
      <w:start w:val="1"/>
      <w:numFmt w:val="decimal"/>
      <w:lvlText w:val="%1.%2.%3.%4.%5.%6.%7.%8"/>
      <w:lvlJc w:val="left"/>
      <w:pPr>
        <w:ind w:left="1789" w:hanging="1080"/>
      </w:pPr>
      <w:rPr>
        <w:sz w:val="22"/>
      </w:rPr>
    </w:lvl>
    <w:lvl w:ilvl="8">
      <w:start w:val="1"/>
      <w:numFmt w:val="decimal"/>
      <w:lvlText w:val="%1.%2.%3.%4.%5.%6.%7.%8.%9"/>
      <w:lvlJc w:val="left"/>
      <w:pPr>
        <w:ind w:left="2149" w:hanging="1440"/>
      </w:pPr>
      <w:rPr>
        <w:sz w:val="22"/>
      </w:rPr>
    </w:lvl>
  </w:abstractNum>
  <w:abstractNum w:abstractNumId="17" w15:restartNumberingAfterBreak="0">
    <w:nsid w:val="71FC2E0B"/>
    <w:multiLevelType w:val="hybridMultilevel"/>
    <w:tmpl w:val="691832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23CC1"/>
    <w:multiLevelType w:val="hybridMultilevel"/>
    <w:tmpl w:val="0E5C301E"/>
    <w:lvl w:ilvl="0" w:tplc="BF5811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20CE7"/>
    <w:multiLevelType w:val="hybridMultilevel"/>
    <w:tmpl w:val="6AAA727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F7E4BC0"/>
    <w:multiLevelType w:val="multilevel"/>
    <w:tmpl w:val="AFD068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0"/>
  </w:num>
  <w:num w:numId="3">
    <w:abstractNumId w:val="3"/>
  </w:num>
  <w:num w:numId="4">
    <w:abstractNumId w:val="6"/>
  </w:num>
  <w:num w:numId="5">
    <w:abstractNumId w:val="18"/>
  </w:num>
  <w:num w:numId="6">
    <w:abstractNumId w:val="7"/>
  </w:num>
  <w:num w:numId="7">
    <w:abstractNumId w:val="11"/>
  </w:num>
  <w:num w:numId="8">
    <w:abstractNumId w:val="2"/>
  </w:num>
  <w:num w:numId="9">
    <w:abstractNumId w:val="13"/>
  </w:num>
  <w:num w:numId="10">
    <w:abstractNumId w:val="15"/>
  </w:num>
  <w:num w:numId="11">
    <w:abstractNumId w:val="1"/>
  </w:num>
  <w:num w:numId="12">
    <w:abstractNumId w:val="4"/>
  </w:num>
  <w:num w:numId="13">
    <w:abstractNumId w:val="5"/>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96"/>
    <w:rsid w:val="00171852"/>
    <w:rsid w:val="00176B7E"/>
    <w:rsid w:val="00214512"/>
    <w:rsid w:val="002F0BF4"/>
    <w:rsid w:val="00370EBF"/>
    <w:rsid w:val="003F17AF"/>
    <w:rsid w:val="00482588"/>
    <w:rsid w:val="00580440"/>
    <w:rsid w:val="005B4AC4"/>
    <w:rsid w:val="005D7766"/>
    <w:rsid w:val="00662005"/>
    <w:rsid w:val="0068196D"/>
    <w:rsid w:val="006D0A5A"/>
    <w:rsid w:val="006D0FFB"/>
    <w:rsid w:val="00741182"/>
    <w:rsid w:val="007F2814"/>
    <w:rsid w:val="008F08F3"/>
    <w:rsid w:val="008F16CF"/>
    <w:rsid w:val="008F7AAE"/>
    <w:rsid w:val="00946557"/>
    <w:rsid w:val="009826CA"/>
    <w:rsid w:val="00A00E46"/>
    <w:rsid w:val="00A47C6F"/>
    <w:rsid w:val="00B16CB9"/>
    <w:rsid w:val="00B476CE"/>
    <w:rsid w:val="00BF5CCD"/>
    <w:rsid w:val="00C47194"/>
    <w:rsid w:val="00CB2CA0"/>
    <w:rsid w:val="00D61242"/>
    <w:rsid w:val="00DD20E7"/>
    <w:rsid w:val="00F46E52"/>
    <w:rsid w:val="00F47075"/>
    <w:rsid w:val="00FB1F6D"/>
    <w:rsid w:val="00FD7196"/>
    <w:rsid w:val="00FE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74CC"/>
  <w15:docId w15:val="{4FA116B7-CE97-476C-A02A-89B9B3BB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D0FFB"/>
    <w:pPr>
      <w:keepNext/>
      <w:numPr>
        <w:numId w:val="15"/>
      </w:numPr>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semiHidden/>
    <w:unhideWhenUsed/>
    <w:qFormat/>
    <w:rsid w:val="006D0FFB"/>
    <w:pPr>
      <w:keepNext/>
      <w:numPr>
        <w:ilvl w:val="1"/>
        <w:numId w:val="15"/>
      </w:numPr>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semiHidden/>
    <w:unhideWhenUsed/>
    <w:qFormat/>
    <w:rsid w:val="006D0FFB"/>
    <w:pPr>
      <w:keepNext/>
      <w:numPr>
        <w:ilvl w:val="2"/>
        <w:numId w:val="15"/>
      </w:numPr>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6D0FFB"/>
    <w:pPr>
      <w:keepNext/>
      <w:numPr>
        <w:ilvl w:val="3"/>
        <w:numId w:val="15"/>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6D0FFB"/>
    <w:pPr>
      <w:numPr>
        <w:ilvl w:val="4"/>
        <w:numId w:val="15"/>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semiHidden/>
    <w:unhideWhenUsed/>
    <w:qFormat/>
    <w:rsid w:val="006D0FFB"/>
    <w:pPr>
      <w:numPr>
        <w:ilvl w:val="5"/>
        <w:numId w:val="15"/>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6D0FFB"/>
    <w:pPr>
      <w:numPr>
        <w:ilvl w:val="6"/>
        <w:numId w:val="15"/>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6D0FFB"/>
    <w:pPr>
      <w:numPr>
        <w:ilvl w:val="7"/>
        <w:numId w:val="15"/>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6D0FFB"/>
    <w:pPr>
      <w:numPr>
        <w:ilvl w:val="8"/>
        <w:numId w:val="15"/>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1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7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196"/>
    <w:rPr>
      <w:rFonts w:ascii="Tahoma" w:hAnsi="Tahoma" w:cs="Tahoma"/>
      <w:sz w:val="16"/>
      <w:szCs w:val="16"/>
    </w:rPr>
  </w:style>
  <w:style w:type="paragraph" w:styleId="ListParagraph">
    <w:name w:val="List Paragraph"/>
    <w:basedOn w:val="Normal"/>
    <w:uiPriority w:val="34"/>
    <w:qFormat/>
    <w:rsid w:val="003F17AF"/>
    <w:pPr>
      <w:ind w:left="720"/>
      <w:contextualSpacing/>
    </w:pPr>
  </w:style>
  <w:style w:type="paragraph" w:styleId="Header">
    <w:name w:val="header"/>
    <w:basedOn w:val="Normal"/>
    <w:link w:val="HeaderChar"/>
    <w:uiPriority w:val="99"/>
    <w:unhideWhenUsed/>
    <w:rsid w:val="00C47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94"/>
  </w:style>
  <w:style w:type="paragraph" w:styleId="Footer">
    <w:name w:val="footer"/>
    <w:basedOn w:val="Normal"/>
    <w:link w:val="FooterChar"/>
    <w:uiPriority w:val="99"/>
    <w:unhideWhenUsed/>
    <w:rsid w:val="00C47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94"/>
  </w:style>
  <w:style w:type="paragraph" w:styleId="NoSpacing">
    <w:name w:val="No Spacing"/>
    <w:uiPriority w:val="1"/>
    <w:qFormat/>
    <w:rsid w:val="00662005"/>
    <w:pPr>
      <w:spacing w:after="0" w:line="240" w:lineRule="auto"/>
    </w:pPr>
  </w:style>
  <w:style w:type="character" w:customStyle="1" w:styleId="Heading1Char">
    <w:name w:val="Heading 1 Char"/>
    <w:basedOn w:val="DefaultParagraphFont"/>
    <w:link w:val="Heading1"/>
    <w:rsid w:val="006D0FF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6D0FFB"/>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semiHidden/>
    <w:rsid w:val="006D0FFB"/>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6D0FFB"/>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6D0FFB"/>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semiHidden/>
    <w:rsid w:val="006D0FFB"/>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6D0FFB"/>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6D0FFB"/>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6D0FFB"/>
    <w:rPr>
      <w:rFonts w:ascii="Arial" w:eastAsia="Times New Roman" w:hAnsi="Arial" w:cs="Arial"/>
      <w:lang w:eastAsia="en-GB"/>
    </w:rPr>
  </w:style>
  <w:style w:type="character" w:styleId="Hyperlink">
    <w:name w:val="Hyperlink"/>
    <w:basedOn w:val="DefaultParagraphFont"/>
    <w:semiHidden/>
    <w:unhideWhenUsed/>
    <w:rsid w:val="006D0FFB"/>
    <w:rPr>
      <w:color w:val="0000FF"/>
      <w:u w:val="single"/>
    </w:rPr>
  </w:style>
  <w:style w:type="paragraph" w:styleId="PlainText">
    <w:name w:val="Plain Text"/>
    <w:basedOn w:val="Normal"/>
    <w:link w:val="PlainTextChar"/>
    <w:uiPriority w:val="99"/>
    <w:semiHidden/>
    <w:unhideWhenUsed/>
    <w:rsid w:val="006D0FF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6D0FF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6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9B4D-369F-46E0-98E2-F0368859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C50373C</Template>
  <TotalTime>13</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AParsons</dc:creator>
  <cp:lastModifiedBy>AParsons</cp:lastModifiedBy>
  <cp:revision>5</cp:revision>
  <cp:lastPrinted>2013-10-24T12:13:00Z</cp:lastPrinted>
  <dcterms:created xsi:type="dcterms:W3CDTF">2013-11-19T14:45:00Z</dcterms:created>
  <dcterms:modified xsi:type="dcterms:W3CDTF">2017-05-16T11:35:00Z</dcterms:modified>
</cp:coreProperties>
</file>